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8" w:type="dxa"/>
        <w:tblInd w:w="-34" w:type="dxa"/>
        <w:tblLayout w:type="fixed"/>
        <w:tblLook w:val="0000" w:firstRow="0" w:lastRow="0" w:firstColumn="0" w:lastColumn="0" w:noHBand="0" w:noVBand="0"/>
      </w:tblPr>
      <w:tblGrid>
        <w:gridCol w:w="3578"/>
        <w:gridCol w:w="250"/>
        <w:gridCol w:w="5562"/>
        <w:gridCol w:w="18"/>
      </w:tblGrid>
      <w:tr w:rsidR="00303788" w:rsidRPr="00D543A3" w14:paraId="49000843" w14:textId="77777777" w:rsidTr="00C62FF6">
        <w:trPr>
          <w:gridAfter w:val="1"/>
          <w:wAfter w:w="18" w:type="dxa"/>
          <w:trHeight w:val="851"/>
        </w:trPr>
        <w:tc>
          <w:tcPr>
            <w:tcW w:w="3578" w:type="dxa"/>
          </w:tcPr>
          <w:p w14:paraId="472B058E" w14:textId="5418B850" w:rsidR="00B60A3A" w:rsidRPr="00C62FF6" w:rsidRDefault="00402F39" w:rsidP="00C62FF6">
            <w:pPr>
              <w:spacing w:after="0" w:line="240" w:lineRule="auto"/>
              <w:jc w:val="center"/>
              <w:rPr>
                <w:b/>
              </w:rPr>
            </w:pPr>
            <w:bookmarkStart w:id="0" w:name="_GoBack"/>
            <w:bookmarkEnd w:id="0"/>
            <w:r w:rsidRPr="00C62FF6">
              <w:rPr>
                <w:b/>
              </w:rPr>
              <w:t>CHÍNH PHỦ</w:t>
            </w:r>
          </w:p>
          <w:p w14:paraId="5880FB7D" w14:textId="6FC6B22C" w:rsidR="00B60A3A" w:rsidRPr="00C62FF6" w:rsidRDefault="00627CCF" w:rsidP="00C62FF6">
            <w:pPr>
              <w:spacing w:after="0" w:line="240" w:lineRule="auto"/>
              <w:jc w:val="center"/>
              <w:rPr>
                <w:b/>
              </w:rPr>
            </w:pPr>
            <w:r w:rsidRPr="00C62FF6">
              <w:rPr>
                <w:b/>
                <w:noProof/>
                <w:lang w:val="en-US"/>
              </w:rPr>
              <mc:AlternateContent>
                <mc:Choice Requires="wps">
                  <w:drawing>
                    <wp:anchor distT="4294967291" distB="4294967291" distL="114300" distR="114300" simplePos="0" relativeHeight="251656704" behindDoc="0" locked="0" layoutInCell="1" allowOverlap="1" wp14:anchorId="4B56B1E4" wp14:editId="2E5E393D">
                      <wp:simplePos x="0" y="0"/>
                      <wp:positionH relativeFrom="margin">
                        <wp:posOffset>787400</wp:posOffset>
                      </wp:positionH>
                      <wp:positionV relativeFrom="paragraph">
                        <wp:posOffset>36829</wp:posOffset>
                      </wp:positionV>
                      <wp:extent cx="591820" cy="0"/>
                      <wp:effectExtent l="0" t="0" r="0" b="0"/>
                      <wp:wrapNone/>
                      <wp:docPr id="201094634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18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B41E7A" id="Straight Connector 5" o:spid="_x0000_s1026" style="position:absolute;z-index:25165670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62pt,2.9pt" to="108.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">
                      <o:lock v:ext="edit" shapetype="f"/>
                      <w10:wrap anchorx="margin"/>
                    </v:line>
                  </w:pict>
                </mc:Fallback>
              </mc:AlternateContent>
            </w:r>
          </w:p>
        </w:tc>
        <w:tc>
          <w:tcPr>
            <w:tcW w:w="5812" w:type="dxa"/>
            <w:gridSpan w:val="2"/>
          </w:tcPr>
          <w:p w14:paraId="673CE19E" w14:textId="77777777" w:rsidR="00B60A3A" w:rsidRPr="00C62FF6" w:rsidRDefault="00B60A3A" w:rsidP="00C62FF6">
            <w:pPr>
              <w:spacing w:after="0" w:line="240" w:lineRule="auto"/>
              <w:jc w:val="center"/>
              <w:rPr>
                <w:b/>
                <w:spacing w:val="-10"/>
              </w:rPr>
            </w:pPr>
            <w:r w:rsidRPr="00C62FF6">
              <w:rPr>
                <w:b/>
                <w:spacing w:val="-10"/>
              </w:rPr>
              <w:t>CỘNG HOÀ XÃ HỘI CHỦ NGHĨA VIỆT NAM</w:t>
            </w:r>
          </w:p>
          <w:p w14:paraId="25A86A3A" w14:textId="60528807" w:rsidR="00B60A3A" w:rsidRPr="00C62FF6" w:rsidRDefault="00627CCF" w:rsidP="00C62FF6">
            <w:pPr>
              <w:spacing w:after="0" w:line="240" w:lineRule="auto"/>
              <w:jc w:val="center"/>
              <w:rPr>
                <w:b/>
              </w:rPr>
            </w:pPr>
            <w:r w:rsidRPr="00C62FF6">
              <w:rPr>
                <w:b/>
                <w:noProof/>
                <w:lang w:val="en-US"/>
              </w:rPr>
              <mc:AlternateContent>
                <mc:Choice Requires="wps">
                  <w:drawing>
                    <wp:anchor distT="4294967291" distB="4294967291" distL="114300" distR="114300" simplePos="0" relativeHeight="251657728" behindDoc="0" locked="0" layoutInCell="1" allowOverlap="1" wp14:anchorId="57F35497" wp14:editId="723B7DDB">
                      <wp:simplePos x="0" y="0"/>
                      <wp:positionH relativeFrom="margin">
                        <wp:posOffset>633730</wp:posOffset>
                      </wp:positionH>
                      <wp:positionV relativeFrom="paragraph">
                        <wp:posOffset>229235</wp:posOffset>
                      </wp:positionV>
                      <wp:extent cx="2160000" cy="0"/>
                      <wp:effectExtent l="0" t="0" r="0" b="0"/>
                      <wp:wrapNone/>
                      <wp:docPr id="181155767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0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C8C8F7" id="Straight Connector 3" o:spid="_x0000_s1026" style="position:absolute;z-index:251657728;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49.9pt,18.05pt" to="220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">
                      <o:lock v:ext="edit" shapetype="f"/>
                      <w10:wrap anchorx="margin"/>
                    </v:line>
                  </w:pict>
                </mc:Fallback>
              </mc:AlternateContent>
            </w:r>
            <w:r w:rsidR="00B60A3A" w:rsidRPr="00C62FF6">
              <w:rPr>
                <w:b/>
              </w:rPr>
              <w:t>Độc lập - Tự do - Hạnh phúc</w:t>
            </w:r>
          </w:p>
        </w:tc>
      </w:tr>
      <w:tr w:rsidR="00303788" w:rsidRPr="00D543A3" w14:paraId="10D31795" w14:textId="77777777" w:rsidTr="008B4C75">
        <w:trPr>
          <w:trHeight w:val="720"/>
        </w:trPr>
        <w:tc>
          <w:tcPr>
            <w:tcW w:w="3828" w:type="dxa"/>
            <w:gridSpan w:val="2"/>
          </w:tcPr>
          <w:p w14:paraId="2149E056" w14:textId="0531AF3A" w:rsidR="00B60A3A" w:rsidRPr="00D543A3" w:rsidRDefault="00B60A3A" w:rsidP="00BD32C5">
            <w:pPr>
              <w:spacing w:after="0" w:line="240" w:lineRule="auto"/>
              <w:jc w:val="center"/>
              <w:rPr>
                <w:lang w:val="en-US"/>
              </w:rPr>
            </w:pPr>
            <w:r w:rsidRPr="00D543A3">
              <w:t>Số</w:t>
            </w:r>
            <w:r w:rsidR="00C4607B" w:rsidRPr="00D543A3">
              <w:t>:</w:t>
            </w:r>
            <w:r w:rsidR="00AF11BD" w:rsidRPr="00D543A3">
              <w:rPr>
                <w:lang w:val="en-US"/>
              </w:rPr>
              <w:t xml:space="preserve"> </w:t>
            </w:r>
            <w:r w:rsidR="00BD32C5">
              <w:rPr>
                <w:lang w:val="en-US"/>
              </w:rPr>
              <w:t>31</w:t>
            </w:r>
            <w:r w:rsidRPr="00D543A3">
              <w:t>/</w:t>
            </w:r>
            <w:r w:rsidR="00454525" w:rsidRPr="00D543A3">
              <w:rPr>
                <w:lang w:val="en-US"/>
              </w:rPr>
              <w:t>TTr</w:t>
            </w:r>
            <w:r w:rsidRPr="00D543A3">
              <w:rPr>
                <w:lang w:val="en-US"/>
              </w:rPr>
              <w:t>-</w:t>
            </w:r>
            <w:r w:rsidR="00402F39" w:rsidRPr="00D543A3">
              <w:rPr>
                <w:lang w:val="en-US"/>
              </w:rPr>
              <w:t>CP</w:t>
            </w:r>
          </w:p>
        </w:tc>
        <w:tc>
          <w:tcPr>
            <w:tcW w:w="5580" w:type="dxa"/>
            <w:gridSpan w:val="2"/>
          </w:tcPr>
          <w:p w14:paraId="2A300F99" w14:textId="5EBC89C2" w:rsidR="00B60A3A" w:rsidRPr="00C62FF6" w:rsidRDefault="00B60A3A" w:rsidP="00BD32C5">
            <w:pPr>
              <w:spacing w:after="0" w:line="240" w:lineRule="auto"/>
              <w:jc w:val="center"/>
              <w:rPr>
                <w:i/>
              </w:rPr>
            </w:pPr>
            <w:r w:rsidRPr="00C62FF6">
              <w:rPr>
                <w:i/>
              </w:rPr>
              <w:t xml:space="preserve">Hà Nội, </w:t>
            </w:r>
            <w:r w:rsidR="00C4607B" w:rsidRPr="00C62FF6">
              <w:rPr>
                <w:i/>
              </w:rPr>
              <w:t>ngày</w:t>
            </w:r>
            <w:r w:rsidR="007C14AD" w:rsidRPr="00C62FF6">
              <w:rPr>
                <w:i/>
              </w:rPr>
              <w:t xml:space="preserve"> </w:t>
            </w:r>
            <w:r w:rsidR="00BD32C5">
              <w:rPr>
                <w:i/>
                <w:lang w:val="en-US"/>
              </w:rPr>
              <w:t>01</w:t>
            </w:r>
            <w:r w:rsidR="00AF11BD" w:rsidRPr="00C62FF6">
              <w:rPr>
                <w:i/>
              </w:rPr>
              <w:t xml:space="preserve"> </w:t>
            </w:r>
            <w:r w:rsidRPr="00C62FF6">
              <w:rPr>
                <w:i/>
              </w:rPr>
              <w:t>tháng</w:t>
            </w:r>
            <w:r w:rsidR="007C14AD" w:rsidRPr="00C62FF6">
              <w:rPr>
                <w:i/>
              </w:rPr>
              <w:t xml:space="preserve"> </w:t>
            </w:r>
            <w:r w:rsidR="00BD32C5">
              <w:rPr>
                <w:i/>
                <w:lang w:val="en-US"/>
              </w:rPr>
              <w:t>02</w:t>
            </w:r>
            <w:r w:rsidR="007C14AD" w:rsidRPr="00C62FF6">
              <w:rPr>
                <w:i/>
              </w:rPr>
              <w:t xml:space="preserve"> </w:t>
            </w:r>
            <w:r w:rsidRPr="00C62FF6">
              <w:rPr>
                <w:i/>
              </w:rPr>
              <w:t xml:space="preserve">năm </w:t>
            </w:r>
            <w:r w:rsidR="004F2F44" w:rsidRPr="00C62FF6">
              <w:rPr>
                <w:i/>
              </w:rPr>
              <w:t>202</w:t>
            </w:r>
            <w:r w:rsidR="00AF11BD" w:rsidRPr="00C62FF6">
              <w:rPr>
                <w:i/>
              </w:rPr>
              <w:t>6</w:t>
            </w:r>
          </w:p>
        </w:tc>
      </w:tr>
    </w:tbl>
    <w:p w14:paraId="0D3C6F0C" w14:textId="2F881AE4" w:rsidR="00B60A3A" w:rsidRPr="00D543A3" w:rsidRDefault="00454525" w:rsidP="00C62FF6">
      <w:pPr>
        <w:spacing w:after="0" w:line="240" w:lineRule="auto"/>
        <w:jc w:val="center"/>
        <w:rPr>
          <w:b/>
          <w:lang w:val="en-US"/>
        </w:rPr>
      </w:pPr>
      <w:r w:rsidRPr="00D543A3">
        <w:rPr>
          <w:b/>
          <w:lang w:val="en-US"/>
        </w:rPr>
        <w:t>TỜ TRÌNH</w:t>
      </w:r>
    </w:p>
    <w:p w14:paraId="05CACFBE" w14:textId="54902B8C" w:rsidR="002D254F" w:rsidRPr="00D543A3" w:rsidRDefault="00C62FF6" w:rsidP="00C62FF6">
      <w:pPr>
        <w:spacing w:after="0" w:line="240" w:lineRule="auto"/>
        <w:jc w:val="center"/>
        <w:rPr>
          <w:b/>
          <w:bCs/>
          <w:lang w:val="en-US"/>
        </w:rPr>
      </w:pPr>
      <w:r w:rsidRPr="00D543A3">
        <w:rPr>
          <w:b/>
          <w:noProof/>
          <w:lang w:val="en-US"/>
        </w:rPr>
        <mc:AlternateContent>
          <mc:Choice Requires="wps">
            <w:drawing>
              <wp:anchor distT="4294967295" distB="4294967295" distL="114300" distR="114300" simplePos="0" relativeHeight="251658752" behindDoc="0" locked="0" layoutInCell="1" allowOverlap="1" wp14:anchorId="5B88DDA4" wp14:editId="4728E404">
                <wp:simplePos x="0" y="0"/>
                <wp:positionH relativeFrom="margin">
                  <wp:posOffset>2194560</wp:posOffset>
                </wp:positionH>
                <wp:positionV relativeFrom="paragraph">
                  <wp:posOffset>228600</wp:posOffset>
                </wp:positionV>
                <wp:extent cx="13525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495579" id="Straight Connector 4" o:spid="_x0000_s1026" style="position:absolute;z-index:2516587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72.8pt,18pt" to="279.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" strokeweight=".25pt">
                <w10:wrap anchorx="margin"/>
              </v:line>
            </w:pict>
          </mc:Fallback>
        </mc:AlternateContent>
      </w:r>
      <w:r w:rsidR="00E44528">
        <w:rPr>
          <w:b/>
          <w:lang w:val="en-US"/>
        </w:rPr>
        <w:t>D</w:t>
      </w:r>
      <w:r w:rsidR="00312C2F" w:rsidRPr="00D543A3">
        <w:rPr>
          <w:b/>
        </w:rPr>
        <w:t xml:space="preserve">ự </w:t>
      </w:r>
      <w:r w:rsidR="00A5293C" w:rsidRPr="00D543A3">
        <w:rPr>
          <w:b/>
        </w:rPr>
        <w:t>án</w:t>
      </w:r>
      <w:r w:rsidR="001F1A72" w:rsidRPr="00D543A3">
        <w:rPr>
          <w:b/>
        </w:rPr>
        <w:t xml:space="preserve"> </w:t>
      </w:r>
      <w:r w:rsidR="00D94D6A" w:rsidRPr="00D543A3">
        <w:rPr>
          <w:b/>
          <w:bCs/>
        </w:rPr>
        <w:t>Luật sửa đổi, bổ sung một số điều của</w:t>
      </w:r>
      <w:r w:rsidR="00402F39" w:rsidRPr="00D543A3">
        <w:rPr>
          <w:b/>
          <w:bCs/>
          <w:lang w:val="en-US"/>
        </w:rPr>
        <w:t xml:space="preserve"> </w:t>
      </w:r>
      <w:r w:rsidR="00AF11BD" w:rsidRPr="00D543A3">
        <w:rPr>
          <w:b/>
          <w:bCs/>
          <w:lang w:val="en-US"/>
        </w:rPr>
        <w:t>Luật Trợ giúp pháp lý</w:t>
      </w:r>
    </w:p>
    <w:p w14:paraId="77B5558F" w14:textId="6702BB0E" w:rsidR="002638F5" w:rsidRPr="00D543A3" w:rsidRDefault="002674F6" w:rsidP="00C62FF6">
      <w:pPr>
        <w:spacing w:before="240" w:after="240" w:line="240" w:lineRule="auto"/>
        <w:jc w:val="center"/>
        <w:rPr>
          <w:b/>
          <w:spacing w:val="-4"/>
        </w:rPr>
      </w:pPr>
      <w:r w:rsidRPr="00D543A3">
        <w:t xml:space="preserve">Kính gửi: </w:t>
      </w:r>
      <w:r w:rsidR="00402F39" w:rsidRPr="00D543A3">
        <w:t>Quốc hội</w:t>
      </w:r>
    </w:p>
    <w:p w14:paraId="4A140E82" w14:textId="547A56B8" w:rsidR="00454525" w:rsidRPr="00D543A3" w:rsidRDefault="00402F39" w:rsidP="00C62FF6">
      <w:pPr>
        <w:ind w:firstLine="567"/>
        <w:jc w:val="both"/>
        <w:rPr>
          <w:spacing w:val="4"/>
          <w:lang w:val="en-US"/>
        </w:rPr>
      </w:pPr>
      <w:r w:rsidRPr="00D543A3">
        <w:rPr>
          <w:lang w:val="nl-NL"/>
        </w:rPr>
        <w:t>Thực hiện quy định của Luật Ban hành văn bản quy phạm pháp luật</w:t>
      </w:r>
      <w:r w:rsidRPr="00D543A3">
        <w:t xml:space="preserve"> số </w:t>
      </w:r>
      <w:r w:rsidRPr="00D543A3">
        <w:rPr>
          <w:shd w:val="clear" w:color="auto" w:fill="FFFFFF"/>
        </w:rPr>
        <w:t>64/2025/QH15, được sửa đổi, bổ sung một số điều bởi Luật số 87/2025/QH15</w:t>
      </w:r>
      <w:r w:rsidRPr="00D543A3">
        <w:rPr>
          <w:lang w:val="nl-NL"/>
        </w:rPr>
        <w:t xml:space="preserve">, Nghị quyết số 105/2025/UBTVQH15 ngày 26/9/2025 của Ủy ban Thường vụ Quốc hội phê duyệt Chương trình lập pháp năm 2026, </w:t>
      </w:r>
      <w:r w:rsidRPr="00D543A3">
        <w:t xml:space="preserve">Chính </w:t>
      </w:r>
      <w:r w:rsidRPr="00D543A3">
        <w:rPr>
          <w:bCs/>
          <w:color w:val="000000"/>
        </w:rPr>
        <w:t xml:space="preserve">phủ </w:t>
      </w:r>
      <w:r w:rsidRPr="00D543A3">
        <w:t xml:space="preserve">trình Quốc hội </w:t>
      </w:r>
      <w:r w:rsidRPr="00D543A3">
        <w:rPr>
          <w:rStyle w:val="Emphasis"/>
          <w:i w:val="0"/>
          <w:iCs w:val="0"/>
          <w:szCs w:val="28"/>
        </w:rPr>
        <w:t xml:space="preserve">dự án Luật </w:t>
      </w:r>
      <w:r w:rsidR="00F95309" w:rsidRPr="00F95309">
        <w:rPr>
          <w:bCs/>
        </w:rPr>
        <w:t>sửa đổi, bổ sung một số điều của</w:t>
      </w:r>
      <w:r w:rsidR="00F95309" w:rsidRPr="00F95309">
        <w:rPr>
          <w:bCs/>
          <w:lang w:val="en-US"/>
        </w:rPr>
        <w:t xml:space="preserve"> Luật Trợ giúp pháp lý</w:t>
      </w:r>
      <w:r w:rsidR="00F95309" w:rsidRPr="00D543A3">
        <w:rPr>
          <w:rStyle w:val="Emphasis"/>
          <w:i w:val="0"/>
          <w:iCs w:val="0"/>
          <w:szCs w:val="28"/>
        </w:rPr>
        <w:t xml:space="preserve"> </w:t>
      </w:r>
      <w:r w:rsidR="00F95309">
        <w:rPr>
          <w:rStyle w:val="Emphasis"/>
          <w:i w:val="0"/>
          <w:iCs w:val="0"/>
          <w:szCs w:val="28"/>
          <w:lang w:val="en-US"/>
        </w:rPr>
        <w:t xml:space="preserve">(TGPL) </w:t>
      </w:r>
      <w:r w:rsidRPr="00D543A3">
        <w:rPr>
          <w:rStyle w:val="Emphasis"/>
          <w:i w:val="0"/>
          <w:iCs w:val="0"/>
          <w:szCs w:val="28"/>
        </w:rPr>
        <w:t>với những nội dung cơ bản như sau:</w:t>
      </w:r>
    </w:p>
    <w:p w14:paraId="5EB20C49" w14:textId="77777777" w:rsidR="00402F39" w:rsidRPr="005302DA" w:rsidRDefault="00402F39" w:rsidP="00C62FF6">
      <w:pPr>
        <w:ind w:firstLine="567"/>
        <w:jc w:val="both"/>
        <w:rPr>
          <w:rFonts w:ascii="Times New Roman Bold" w:hAnsi="Times New Roman Bold"/>
          <w:b/>
          <w:w w:val="105"/>
          <w:lang w:val="nl-NL"/>
        </w:rPr>
      </w:pPr>
      <w:r w:rsidRPr="005302DA">
        <w:rPr>
          <w:rFonts w:ascii="Times New Roman Bold" w:hAnsi="Times New Roman Bold"/>
          <w:b/>
          <w:w w:val="105"/>
          <w:lang w:val="nl-NL"/>
        </w:rPr>
        <w:t>I. SỰ CẦN THIẾT BAN HÀNH LUẬT SỬA ĐỔI, BỔ SUNG MỘT SỐ ĐI</w:t>
      </w:r>
      <w:r w:rsidRPr="005302DA">
        <w:rPr>
          <w:rFonts w:ascii="Times New Roman Bold" w:hAnsi="Times New Roman Bold"/>
          <w:b/>
          <w:w w:val="105"/>
        </w:rPr>
        <w:t>Ề</w:t>
      </w:r>
      <w:r w:rsidRPr="005302DA">
        <w:rPr>
          <w:rFonts w:ascii="Times New Roman Bold" w:hAnsi="Times New Roman Bold"/>
          <w:b/>
          <w:w w:val="105"/>
          <w:lang w:val="nl-NL"/>
        </w:rPr>
        <w:t>U CỦA LUẬT TGPL</w:t>
      </w:r>
    </w:p>
    <w:p w14:paraId="6F8E4048" w14:textId="77777777" w:rsidR="00402F39" w:rsidRPr="00D543A3" w:rsidRDefault="00402F39" w:rsidP="00C62FF6">
      <w:pPr>
        <w:ind w:firstLine="567"/>
        <w:jc w:val="both"/>
        <w:rPr>
          <w:rFonts w:eastAsia="Times New Roman"/>
          <w:b/>
          <w:bCs/>
          <w:lang w:val="nl-NL"/>
        </w:rPr>
      </w:pPr>
      <w:r w:rsidRPr="00D543A3">
        <w:rPr>
          <w:rFonts w:eastAsia="Times New Roman"/>
          <w:b/>
          <w:bCs/>
          <w:lang w:val="nl-NL"/>
        </w:rPr>
        <w:t>1. Cơ sở chính trị, pháp lý</w:t>
      </w:r>
    </w:p>
    <w:p w14:paraId="3F44FC59" w14:textId="77777777" w:rsidR="00402F39" w:rsidRPr="00D543A3" w:rsidRDefault="00402F39" w:rsidP="00C62FF6">
      <w:pPr>
        <w:ind w:firstLine="567"/>
        <w:jc w:val="both"/>
        <w:rPr>
          <w:rStyle w:val="CommentReference"/>
          <w:rFonts w:eastAsia="Times New Roman"/>
          <w:sz w:val="28"/>
          <w:szCs w:val="28"/>
          <w:lang w:val="nl-NL"/>
        </w:rPr>
      </w:pPr>
      <w:r w:rsidRPr="00D543A3">
        <w:rPr>
          <w:rStyle w:val="CommentReference"/>
          <w:rFonts w:eastAsia="Times New Roman"/>
          <w:sz w:val="28"/>
          <w:szCs w:val="28"/>
          <w:lang w:val="nl-NL"/>
        </w:rPr>
        <w:t>- Nghị quyết số 27-NQ/TW ngày 09/11/2022 Hội nghị lần thứ sáu Ban Chấp hành Trung ương Đảng khóa XIII về tiếp tục xây dựng và hoàn thiện Nhà nước pháp quyền xã hội chủ nghĩa Việt Nam trong giai đoạn mới, đề ra nhiệm vụ: “Xây dựng mạng lưới, nâng cao năng lực của hệ thống TGPL để người dân dễ tiếp cận pháp luật”; “Nâng cao vai trò, tính chuyên nghiệp và chất lượng TGPL, nhất là trong hoạt động tố tụng tư pháp; hiện đại hóa, tăng cường ứng dụng công nghệ thông tin trong hệ thống TGPL; mở rộng đối tượng được TGPL phù hợp với điều kiện của đất nước”.</w:t>
      </w:r>
    </w:p>
    <w:p w14:paraId="5491B547" w14:textId="73907781" w:rsidR="00402F39" w:rsidRPr="005302DA" w:rsidRDefault="00402F39" w:rsidP="00C62FF6">
      <w:pPr>
        <w:ind w:firstLine="567"/>
        <w:jc w:val="both"/>
        <w:rPr>
          <w:rStyle w:val="CommentReference"/>
          <w:sz w:val="28"/>
          <w:szCs w:val="28"/>
          <w:lang w:val="nl-NL"/>
        </w:rPr>
      </w:pPr>
      <w:r w:rsidRPr="00D543A3">
        <w:rPr>
          <w:rStyle w:val="CommentReference"/>
          <w:sz w:val="28"/>
          <w:szCs w:val="28"/>
          <w:lang w:val="nl-NL"/>
        </w:rPr>
        <w:t xml:space="preserve">- Nghị quyết số </w:t>
      </w:r>
      <w:r w:rsidR="005302DA">
        <w:rPr>
          <w:lang w:val="nl-NL"/>
        </w:rPr>
        <w:t>49-NQ/TW ngày 02/6/200</w:t>
      </w:r>
      <w:r w:rsidRPr="00D543A3">
        <w:rPr>
          <w:lang w:val="nl-NL"/>
        </w:rPr>
        <w:t xml:space="preserve">5 của Bộ Chính trị </w:t>
      </w:r>
      <w:r w:rsidRPr="00D543A3">
        <w:rPr>
          <w:shd w:val="clear" w:color="auto" w:fill="FFFFFF"/>
          <w:lang w:val="nl-NL"/>
        </w:rPr>
        <w:t>khoá IX về chiến lược cải cách tư pháp đến năm 2020</w:t>
      </w:r>
      <w:r w:rsidRPr="00D543A3">
        <w:rPr>
          <w:shd w:val="clear" w:color="auto" w:fill="FFFFFF"/>
        </w:rPr>
        <w:t xml:space="preserve"> </w:t>
      </w:r>
      <w:r w:rsidRPr="00D543A3">
        <w:rPr>
          <w:lang w:val="nl-NL"/>
        </w:rPr>
        <w:t xml:space="preserve">và Kết luận số </w:t>
      </w:r>
      <w:r w:rsidRPr="00D543A3">
        <w:rPr>
          <w:shd w:val="clear" w:color="auto" w:fill="FFFFFF"/>
          <w:lang w:val="nl-NL"/>
        </w:rPr>
        <w:t xml:space="preserve">92-KL/TW ngày 12/3/2014 của Bộ Chính trị về tiếp tục thực hiện Nghị quyết số 49-NQ/TW, trong đó có nội dung: </w:t>
      </w:r>
      <w:r w:rsidRPr="005302DA">
        <w:rPr>
          <w:shd w:val="clear" w:color="auto" w:fill="FFFFFF"/>
          <w:lang w:val="nl-NL"/>
        </w:rPr>
        <w:t>“</w:t>
      </w:r>
      <w:r w:rsidRPr="005302DA">
        <w:rPr>
          <w:iCs/>
          <w:lang w:val="nl-NL"/>
        </w:rPr>
        <w:t xml:space="preserve">Xây dựng đội ngũ cán bộ tư pháp và bổ trợ tư pháp trong sạch, vững mạnh; Tăng cường hợp tác quốc tế về tư pháp”. </w:t>
      </w:r>
    </w:p>
    <w:p w14:paraId="12CD27D3" w14:textId="1079BC4F" w:rsidR="005302DA" w:rsidRPr="005302DA" w:rsidRDefault="00402F39" w:rsidP="00C62FF6">
      <w:pPr>
        <w:ind w:firstLine="567"/>
        <w:jc w:val="both"/>
        <w:rPr>
          <w:rFonts w:eastAsia="Times New Roman"/>
          <w:spacing w:val="-2"/>
          <w:szCs w:val="28"/>
          <w:shd w:val="clear" w:color="auto" w:fill="FFFFFF"/>
          <w:lang w:val="en-GB"/>
        </w:rPr>
      </w:pPr>
      <w:r w:rsidRPr="00D543A3">
        <w:rPr>
          <w:rFonts w:eastAsia="Times New Roman"/>
          <w:spacing w:val="-2"/>
          <w:shd w:val="clear" w:color="auto" w:fill="FFFFFF"/>
          <w:lang w:val="nl-NL"/>
        </w:rPr>
        <w:t xml:space="preserve">- Nghị quyết số 66-NQ/TW ngày 30/4/2025 của Bộ Chính trị về đổi mới công tác xây dựng và thi hành pháp luật đáp ứng yêu cầu phát triển đất nước trong kỷ nguyên mới yêu cầu: </w:t>
      </w:r>
      <w:r w:rsidRPr="005302DA">
        <w:rPr>
          <w:rFonts w:eastAsia="Times New Roman"/>
          <w:spacing w:val="-2"/>
          <w:szCs w:val="28"/>
          <w:shd w:val="clear" w:color="auto" w:fill="FFFFFF"/>
        </w:rPr>
        <w:t>“</w:t>
      </w:r>
      <w:r w:rsidR="005302DA" w:rsidRPr="005302DA">
        <w:rPr>
          <w:color w:val="000000"/>
          <w:szCs w:val="28"/>
          <w:shd w:val="clear" w:color="auto" w:fill="FFFFFF"/>
        </w:rPr>
        <w:t>Thúc đẩy phát triển mạnh mẽ hệ thống dịch vụ pháp lý, hỗ trợ pháp lý, trợ giúp pháp lý, đăng ký biện pháp bảo đảm để người dân và doanh nghiệp dễ tiếp cận pháp luật, quản trị rủi ro pháp lý</w:t>
      </w:r>
      <w:r w:rsidR="005302DA" w:rsidRPr="005302DA">
        <w:rPr>
          <w:color w:val="000000"/>
          <w:szCs w:val="28"/>
          <w:shd w:val="clear" w:color="auto" w:fill="FFFFFF"/>
          <w:lang w:val="en-GB"/>
        </w:rPr>
        <w:t>.”; “</w:t>
      </w:r>
      <w:r w:rsidR="005302DA" w:rsidRPr="005302DA">
        <w:rPr>
          <w:color w:val="000000"/>
          <w:szCs w:val="28"/>
          <w:shd w:val="clear" w:color="auto" w:fill="FFFFFF"/>
        </w:rPr>
        <w:t>Ứng dụng công nghệ số, chuyển đổi số đồng bộ trong phổ biến, giáo dục pháp luật, trợ giúp pháp lý, đăng ký biện pháp bảo đảm</w:t>
      </w:r>
      <w:r w:rsidR="005302DA" w:rsidRPr="005302DA">
        <w:rPr>
          <w:color w:val="000000"/>
          <w:szCs w:val="28"/>
          <w:shd w:val="clear" w:color="auto" w:fill="FFFFFF"/>
          <w:lang w:val="en-GB"/>
        </w:rPr>
        <w:t xml:space="preserve">”; </w:t>
      </w:r>
      <w:r w:rsidR="00E90473">
        <w:rPr>
          <w:color w:val="000000"/>
          <w:szCs w:val="28"/>
          <w:shd w:val="clear" w:color="auto" w:fill="FFFFFF"/>
          <w:lang w:val="en-GB"/>
        </w:rPr>
        <w:t>“</w:t>
      </w:r>
      <w:r w:rsidR="005302DA" w:rsidRPr="005302DA">
        <w:rPr>
          <w:color w:val="000000"/>
          <w:szCs w:val="28"/>
          <w:shd w:val="clear" w:color="auto" w:fill="FFFFFF"/>
        </w:rPr>
        <w:t xml:space="preserve">Bố trí nguồn ngân sách phù hợp, tương xứng cho công tác tổ chức thi hành pháp luật. Ưu tiên nguồn lực tương xứng cho </w:t>
      </w:r>
      <w:r w:rsidR="005302DA" w:rsidRPr="005302DA">
        <w:rPr>
          <w:color w:val="000000"/>
          <w:szCs w:val="28"/>
          <w:shd w:val="clear" w:color="auto" w:fill="FFFFFF"/>
        </w:rPr>
        <w:lastRenderedPageBreak/>
        <w:t>công tác phổ biến, giáo dục pháp luật, trợ giúp pháp lý cho đối tượng đặc thù, yếu thế, đồng bào dân tộc thiểu số.</w:t>
      </w:r>
      <w:r w:rsidR="005302DA" w:rsidRPr="005302DA">
        <w:rPr>
          <w:color w:val="000000"/>
          <w:szCs w:val="28"/>
          <w:shd w:val="clear" w:color="auto" w:fill="FFFFFF"/>
          <w:lang w:val="en-GB"/>
        </w:rPr>
        <w:t>”.</w:t>
      </w:r>
    </w:p>
    <w:p w14:paraId="50DF75E1" w14:textId="77777777" w:rsidR="00402F39" w:rsidRPr="00D543A3" w:rsidRDefault="00402F39" w:rsidP="00C62FF6">
      <w:pPr>
        <w:ind w:firstLine="567"/>
        <w:jc w:val="both"/>
        <w:rPr>
          <w:rFonts w:eastAsia="Times New Roman"/>
          <w:shd w:val="clear" w:color="auto" w:fill="FFFFFF"/>
          <w:lang w:val="nl-NL"/>
        </w:rPr>
      </w:pPr>
      <w:r w:rsidRPr="00D543A3">
        <w:rPr>
          <w:rFonts w:eastAsia="Times New Roman"/>
          <w:shd w:val="clear" w:color="auto" w:fill="FFFFFF"/>
          <w:lang w:val="nl-NL"/>
        </w:rPr>
        <w:t xml:space="preserve">-  Nghị quyết số 57-NQ/TW ngày 22/12/2024 của Bộ Chính trị về đột phá phát triển khoa học, công nghệ, đổi mới sáng tạo và chuyển đổi số quốc gia yêu cầu: </w:t>
      </w:r>
      <w:r w:rsidRPr="00D543A3">
        <w:rPr>
          <w:rFonts w:eastAsia="Times New Roman"/>
          <w:shd w:val="clear" w:color="auto" w:fill="FFFFFF"/>
        </w:rPr>
        <w:t>“</w:t>
      </w:r>
      <w:r w:rsidRPr="00D543A3">
        <w:rPr>
          <w:rFonts w:eastAsia="Times New Roman"/>
          <w:shd w:val="clear" w:color="auto" w:fill="FFFFFF"/>
          <w:lang w:val="nl-NL"/>
        </w:rPr>
        <w:t>Nâng cao chất lượng dịch vụ công trực tuyến, dịch vụ số cho người dân và doanh nghiệp, hướng tới cung cấp dịch vụ công trực tuyến toàn trình, cá nhân hoá và dựa trên dữ liệu; tăng cường giám sát, đánh giá và trách nhiệm giải trình của cơ quan nhà nước, người có thẩm quyền trong phục vụ Nhân dân</w:t>
      </w:r>
      <w:r w:rsidRPr="00D543A3">
        <w:rPr>
          <w:rFonts w:eastAsia="Times New Roman"/>
          <w:shd w:val="clear" w:color="auto" w:fill="FFFFFF"/>
        </w:rPr>
        <w:t>”</w:t>
      </w:r>
      <w:r w:rsidRPr="00D543A3">
        <w:rPr>
          <w:rFonts w:eastAsia="Times New Roman"/>
          <w:shd w:val="clear" w:color="auto" w:fill="FFFFFF"/>
          <w:lang w:val="nl-NL"/>
        </w:rPr>
        <w:t>.</w:t>
      </w:r>
    </w:p>
    <w:p w14:paraId="27BA1C9F" w14:textId="77777777" w:rsidR="00402F39" w:rsidRPr="00D543A3" w:rsidRDefault="00402F39" w:rsidP="00C62FF6">
      <w:pPr>
        <w:ind w:firstLine="567"/>
        <w:jc w:val="both"/>
        <w:rPr>
          <w:rFonts w:eastAsia="Times New Roman"/>
          <w:shd w:val="clear" w:color="auto" w:fill="FFFFFF"/>
          <w:lang w:val="nl-NL"/>
        </w:rPr>
      </w:pPr>
      <w:r w:rsidRPr="00D543A3">
        <w:rPr>
          <w:rFonts w:eastAsia="Times New Roman"/>
          <w:shd w:val="clear" w:color="auto" w:fill="FFFFFF"/>
          <w:lang w:val="nl-NL"/>
        </w:rPr>
        <w:t>- Nghị quyết số 202/2025/QH15 ngày 12/6/2025 của Quốc hội về việc sắp xếp đơn vị hành chính cấp tỉnh đã tác động đến mô hình tổ chức và hoạt động của các Trung tâm TGPL nhà nước và Chi nhánh của Trung tâm.</w:t>
      </w:r>
    </w:p>
    <w:p w14:paraId="29E8B81C" w14:textId="37690DFC" w:rsidR="00402F39" w:rsidRPr="00D543A3" w:rsidRDefault="00402F39" w:rsidP="00C62FF6">
      <w:pPr>
        <w:ind w:firstLine="567"/>
        <w:jc w:val="both"/>
        <w:rPr>
          <w:rFonts w:eastAsia="Times New Roman"/>
          <w:shd w:val="clear" w:color="auto" w:fill="FFFFFF"/>
          <w:lang w:val="nl-NL"/>
        </w:rPr>
      </w:pPr>
      <w:r w:rsidRPr="00D543A3">
        <w:rPr>
          <w:rFonts w:eastAsia="Times New Roman"/>
          <w:shd w:val="clear" w:color="auto" w:fill="FFFFFF"/>
          <w:lang w:val="nl-NL"/>
        </w:rPr>
        <w:t xml:space="preserve">- Tại buổi làm việc với Ban cán sự </w:t>
      </w:r>
      <w:r w:rsidR="00A43E9B">
        <w:rPr>
          <w:rFonts w:eastAsia="Times New Roman"/>
          <w:shd w:val="clear" w:color="auto" w:fill="FFFFFF"/>
          <w:lang w:val="nl-NL"/>
        </w:rPr>
        <w:t>đ</w:t>
      </w:r>
      <w:r w:rsidRPr="00D543A3">
        <w:rPr>
          <w:rFonts w:eastAsia="Times New Roman"/>
          <w:shd w:val="clear" w:color="auto" w:fill="FFFFFF"/>
          <w:lang w:val="nl-NL"/>
        </w:rPr>
        <w:t xml:space="preserve">ảng Bộ Tư pháp ngày 07/11/2024, đồng chí Tổng Bí thư Tô Lâm đã chỉ đạo “Phát huy vai trò của </w:t>
      </w:r>
      <w:r w:rsidR="00FA163E">
        <w:rPr>
          <w:rFonts w:eastAsia="Times New Roman"/>
          <w:shd w:val="clear" w:color="auto" w:fill="FFFFFF"/>
          <w:lang w:val="nl-NL"/>
        </w:rPr>
        <w:t>trợ giúp pháp lý</w:t>
      </w:r>
      <w:r w:rsidRPr="00D543A3">
        <w:rPr>
          <w:rFonts w:eastAsia="Times New Roman"/>
          <w:shd w:val="clear" w:color="auto" w:fill="FFFFFF"/>
          <w:lang w:val="nl-NL"/>
        </w:rPr>
        <w:t xml:space="preserve"> trong thực hiện</w:t>
      </w:r>
      <w:r w:rsidR="005E72A2">
        <w:rPr>
          <w:rFonts w:eastAsia="Times New Roman"/>
          <w:shd w:val="clear" w:color="auto" w:fill="FFFFFF"/>
          <w:lang w:val="nl-NL"/>
        </w:rPr>
        <w:t xml:space="preserve"> các chính sách an sinh xã hội” (Thông báo số 108-TB/VPTW ngày 18/11/2024 của Văn phòng Trung ương Đảng).</w:t>
      </w:r>
    </w:p>
    <w:p w14:paraId="5FEBD46D" w14:textId="296CE903" w:rsidR="00402F39" w:rsidRPr="00D543A3" w:rsidRDefault="00402F39" w:rsidP="00C62FF6">
      <w:pPr>
        <w:ind w:firstLine="567"/>
        <w:jc w:val="both"/>
        <w:rPr>
          <w:rFonts w:eastAsia="MS ??"/>
          <w:lang w:val="nl-NL"/>
        </w:rPr>
      </w:pPr>
      <w:r w:rsidRPr="00D543A3">
        <w:rPr>
          <w:rFonts w:eastAsia="Times New Roman"/>
          <w:shd w:val="clear" w:color="auto" w:fill="FFFFFF"/>
          <w:lang w:val="nl-NL"/>
        </w:rPr>
        <w:t xml:space="preserve">- </w:t>
      </w:r>
      <w:r w:rsidRPr="00D543A3">
        <w:rPr>
          <w:rFonts w:eastAsia="MS ??"/>
          <w:lang w:val="nl-NL"/>
        </w:rPr>
        <w:t xml:space="preserve">Thời gian qua, một số văn bản pháp luật </w:t>
      </w:r>
      <w:r w:rsidR="005302DA">
        <w:rPr>
          <w:rFonts w:eastAsia="MS ??"/>
          <w:lang w:val="nl-NL"/>
        </w:rPr>
        <w:t xml:space="preserve">mới </w:t>
      </w:r>
      <w:r w:rsidRPr="00D543A3">
        <w:rPr>
          <w:rFonts w:eastAsia="MS ??"/>
          <w:lang w:val="nl-NL"/>
        </w:rPr>
        <w:t>đã được b</w:t>
      </w:r>
      <w:r w:rsidR="00E90473">
        <w:rPr>
          <w:rFonts w:eastAsia="MS ??"/>
          <w:lang w:val="nl-NL"/>
        </w:rPr>
        <w:t xml:space="preserve">an hành </w:t>
      </w:r>
      <w:r w:rsidRPr="00D543A3">
        <w:rPr>
          <w:rFonts w:eastAsia="MS ??"/>
          <w:lang w:val="nl-NL"/>
        </w:rPr>
        <w:t>liên quan đế</w:t>
      </w:r>
      <w:r w:rsidR="005302DA">
        <w:rPr>
          <w:rFonts w:eastAsia="MS ??"/>
          <w:lang w:val="nl-NL"/>
        </w:rPr>
        <w:t>n TGPL như</w:t>
      </w:r>
      <w:r w:rsidRPr="00D543A3">
        <w:rPr>
          <w:rFonts w:eastAsia="MS ??"/>
          <w:lang w:val="nl-NL"/>
        </w:rPr>
        <w:t>: Nghị quyết số 203/2025/QH15 ngày 16/6/2025 của Quốc hội sửa đổi, bổ sung một số điều của Hiến pháp nước Cộng hoà xã hội chủ nghĩa Việt Nam, Luật Phòng, chống bạo lực gia đình số 13/2022/QH15, Luật Phòng, chống mua bán người số 53/2024/QH15, Luật Tư pháp người chưa thành niên số 59/2024/QH15, Luật Tổ chức chính quyền địa phương số 72/2025/QH15.</w:t>
      </w:r>
    </w:p>
    <w:p w14:paraId="754133A9" w14:textId="77777777" w:rsidR="00402F39" w:rsidRPr="00D543A3" w:rsidRDefault="00402F39" w:rsidP="00C62FF6">
      <w:pPr>
        <w:ind w:firstLine="567"/>
        <w:jc w:val="both"/>
        <w:rPr>
          <w:rFonts w:eastAsia="Times New Roman"/>
          <w:lang w:val="nl-NL"/>
        </w:rPr>
      </w:pPr>
      <w:r w:rsidRPr="00D543A3">
        <w:rPr>
          <w:rFonts w:eastAsia="Times New Roman"/>
          <w:b/>
          <w:bCs/>
          <w:lang w:val="nl-NL"/>
        </w:rPr>
        <w:t>2. Cơ sở thực tiễn</w:t>
      </w:r>
    </w:p>
    <w:p w14:paraId="6167C0F8" w14:textId="59337B27" w:rsidR="00402F39" w:rsidRPr="00D543A3" w:rsidRDefault="00402F39" w:rsidP="00C62FF6">
      <w:pPr>
        <w:ind w:firstLine="567"/>
        <w:jc w:val="both"/>
        <w:rPr>
          <w:rFonts w:eastAsia="Times New Roman"/>
          <w:lang w:val="nl-NL"/>
        </w:rPr>
      </w:pPr>
      <w:r w:rsidRPr="00D543A3">
        <w:rPr>
          <w:rFonts w:eastAsia="Times New Roman"/>
          <w:lang w:val="nl-NL"/>
        </w:rPr>
        <w:t xml:space="preserve">Sau gần 08 năm thi hành Luật TGPL, công tác TGPL đã đi vào nề nếp và đã đạt được nhiều kết quả tích cực. </w:t>
      </w:r>
      <w:r w:rsidR="00A43E9B">
        <w:rPr>
          <w:rFonts w:eastAsia="Times New Roman"/>
          <w:lang w:val="nl-NL"/>
        </w:rPr>
        <w:t>T</w:t>
      </w:r>
      <w:r w:rsidRPr="00D543A3">
        <w:rPr>
          <w:rFonts w:eastAsia="Times New Roman"/>
          <w:lang w:val="nl-NL"/>
        </w:rPr>
        <w:t>rên cơ sở quy định của Luật TGPL năm 2017, đến nay đã có 03 Nghị định, 01 Quyết định của Thủ tướng Chính phủ, 16 Thông tư của Bộ trưởng Bộ Tư pháp và 02 Thông tư liên tịch quy định ch</w:t>
      </w:r>
      <w:r w:rsidR="005E72A2">
        <w:rPr>
          <w:rFonts w:eastAsia="Times New Roman"/>
          <w:lang w:val="nl-NL"/>
        </w:rPr>
        <w:t>i tiết, hướng dẫn thi hành Luật được ban hành.</w:t>
      </w:r>
    </w:p>
    <w:p w14:paraId="6462DD8E" w14:textId="18C4EB2D" w:rsidR="00402F39" w:rsidRPr="00D543A3" w:rsidRDefault="00402F39" w:rsidP="00C62FF6">
      <w:pPr>
        <w:ind w:firstLine="567"/>
        <w:jc w:val="both"/>
        <w:rPr>
          <w:rFonts w:eastAsia="Times New Roman"/>
          <w:lang w:val="nl-NL"/>
        </w:rPr>
      </w:pPr>
      <w:r w:rsidRPr="00D543A3">
        <w:rPr>
          <w:rFonts w:eastAsia="Times New Roman"/>
          <w:lang w:val="nl-NL"/>
        </w:rPr>
        <w:t xml:space="preserve">Về tổ chức thực hiện TGPL, toàn quốc </w:t>
      </w:r>
      <w:r w:rsidR="005E72A2">
        <w:rPr>
          <w:rFonts w:eastAsia="Times New Roman"/>
          <w:lang w:val="nl-NL"/>
        </w:rPr>
        <w:t xml:space="preserve">hiện </w:t>
      </w:r>
      <w:r w:rsidRPr="00D543A3">
        <w:rPr>
          <w:rFonts w:eastAsia="Times New Roman"/>
          <w:lang w:val="nl-NL"/>
        </w:rPr>
        <w:t xml:space="preserve">có </w:t>
      </w:r>
      <w:r w:rsidR="00921C23">
        <w:rPr>
          <w:rFonts w:eastAsia="Times New Roman"/>
          <w:lang w:val="nl-NL"/>
        </w:rPr>
        <w:t>48</w:t>
      </w:r>
      <w:r w:rsidRPr="00D543A3">
        <w:rPr>
          <w:rFonts w:eastAsia="Times New Roman"/>
          <w:lang w:val="nl-NL"/>
        </w:rPr>
        <w:t xml:space="preserve"> Trung tâm (trước khi hợp nhất tỉnh có 63 Trung tâm), 70 Chi nhánh của Trung tâm, 14 tổ chức hành nghề luật sư, 06 tổ chức tư vấn pháp luật ký hợp đồng với Sở Tư pháp; 147 tổ chức hành nghề luật sư, 30 tổ chức tư vấn pháp luật đăng ký tham gia TGPL với Sở Tư pháp.</w:t>
      </w:r>
      <w:r w:rsidRPr="00D543A3">
        <w:rPr>
          <w:lang w:val="nl-NL"/>
        </w:rPr>
        <w:t xml:space="preserve"> </w:t>
      </w:r>
      <w:r w:rsidRPr="00D543A3">
        <w:rPr>
          <w:rFonts w:eastAsia="Times New Roman"/>
          <w:lang w:val="nl-NL"/>
        </w:rPr>
        <w:t>Tính đến ngày 31/12/2024, cả nước có 1.903 người thực hiện TGPL, trong đó có 712 trợ giúp viên pháp lý, 706 luật sư và 22 cộng tác viên TGPL ký hợp đồng thực hiện TGPL với Trung tâm; 463 luật sư, tư vấn viên pháp luật của các tổ chức đăng ký tham gia TGPL. Trong 08 năm qua, trung bình kinh phí chi cho hoạt động TGPL khoảng 300 tỷ đồng/năm.</w:t>
      </w:r>
    </w:p>
    <w:p w14:paraId="3FDA8D44" w14:textId="779E394E" w:rsidR="00402F39" w:rsidRDefault="00402F39" w:rsidP="00C62FF6">
      <w:pPr>
        <w:ind w:firstLine="567"/>
        <w:jc w:val="both"/>
        <w:rPr>
          <w:rFonts w:eastAsia="Times New Roman"/>
          <w:lang w:val="nl-NL"/>
        </w:rPr>
      </w:pPr>
      <w:r w:rsidRPr="00EA04B5">
        <w:rPr>
          <w:rFonts w:eastAsia="Times New Roman"/>
          <w:iCs/>
          <w:lang w:val="nl-NL"/>
        </w:rPr>
        <w:t>Về kết quả thực hiện TGPL,</w:t>
      </w:r>
      <w:r w:rsidRPr="00EA04B5">
        <w:rPr>
          <w:rFonts w:eastAsia="Times New Roman"/>
          <w:lang w:val="nl-NL"/>
        </w:rPr>
        <w:t xml:space="preserve"> theo báo cáo của các địa phương, </w:t>
      </w:r>
      <w:r w:rsidR="0031008B">
        <w:rPr>
          <w:rFonts w:eastAsia="Times New Roman"/>
          <w:lang w:val="nl-NL"/>
        </w:rPr>
        <w:t>t</w:t>
      </w:r>
      <w:r w:rsidR="00921C23" w:rsidRPr="00921C23">
        <w:rPr>
          <w:rFonts w:eastAsia="Times New Roman"/>
          <w:lang w:val="nl-NL"/>
        </w:rPr>
        <w:t xml:space="preserve">ính từ ngày 01/01/2018 đến ngày 31/12/2025, toàn quốc có 262.147 vụ việc TGPL kết thúc, </w:t>
      </w:r>
      <w:r w:rsidR="00921C23" w:rsidRPr="00921C23">
        <w:rPr>
          <w:rFonts w:eastAsia="Times New Roman"/>
          <w:lang w:val="nl-NL"/>
        </w:rPr>
        <w:lastRenderedPageBreak/>
        <w:t>trong đó, có 163.820 vụ việc tham gia tố tụng, 96.066 vụ việc tư vấn pháp luật, 2.261 vụ việc đại diện ngoài tố tụng.</w:t>
      </w:r>
      <w:r w:rsidRPr="00D543A3">
        <w:rPr>
          <w:rFonts w:eastAsia="Times New Roman"/>
          <w:lang w:val="nl-NL"/>
        </w:rPr>
        <w:t xml:space="preserve"> Chất lượng vụ việc TGPL ngày càng được quan tâm, chú trọng. Nhiều vụ việc TGPL tham gia tố tụng được đánh giá là hiệu quả, thành công</w:t>
      </w:r>
      <w:r w:rsidRPr="00D543A3">
        <w:rPr>
          <w:rStyle w:val="FootnoteReference"/>
          <w:szCs w:val="28"/>
          <w:lang w:val="nl-NL"/>
        </w:rPr>
        <w:footnoteReference w:id="1"/>
      </w:r>
      <w:r w:rsidRPr="00D543A3">
        <w:rPr>
          <w:rFonts w:eastAsia="Times New Roman"/>
          <w:lang w:val="nl-NL"/>
        </w:rPr>
        <w:t xml:space="preserve">. Thông qua các vụ việc TGPL cụ thể, quyền và lợi ích hợp pháp của người được TGPL được bảo vệ, góp phần bảo đảm quyền con người, quyền công dân, quyền tiếp cận công lý và hiện thực hóa chủ trương “không để ai bị bỏ lại phía sau”. </w:t>
      </w:r>
    </w:p>
    <w:p w14:paraId="3E6A4D22" w14:textId="77777777" w:rsidR="00402F39" w:rsidRPr="00D543A3" w:rsidRDefault="00402F39" w:rsidP="00C62FF6">
      <w:pPr>
        <w:ind w:firstLine="567"/>
        <w:jc w:val="both"/>
        <w:rPr>
          <w:rFonts w:eastAsia="Times New Roman"/>
          <w:lang w:val="nl-NL"/>
        </w:rPr>
      </w:pPr>
      <w:r w:rsidRPr="00D543A3">
        <w:rPr>
          <w:rFonts w:eastAsia="Times New Roman"/>
          <w:lang w:val="nl-NL"/>
        </w:rPr>
        <w:t>Nội dung về TGPL đã được ghi nhận trong các Chương trình mục tiêu quốc gia</w:t>
      </w:r>
      <w:r w:rsidRPr="00D543A3">
        <w:rPr>
          <w:rStyle w:val="FootnoteReference"/>
          <w:szCs w:val="28"/>
          <w:lang w:val="nl-NL"/>
        </w:rPr>
        <w:footnoteReference w:id="2"/>
      </w:r>
      <w:r w:rsidRPr="00D543A3">
        <w:rPr>
          <w:shd w:val="clear" w:color="auto" w:fill="FFFFFF"/>
          <w:lang w:val="nl-NL"/>
        </w:rPr>
        <w:t>.</w:t>
      </w:r>
      <w:r w:rsidRPr="00D543A3">
        <w:rPr>
          <w:rFonts w:eastAsia="Times New Roman"/>
          <w:lang w:val="nl-NL"/>
        </w:rPr>
        <w:t xml:space="preserve"> Cùng với việc đổi mới công tác truyền thông giúp người dân hiểu và sử dụng dịch vụ TGPL của Nhà nước, các tổ chức thực hiện TGPL đã tập trung vào thực hiện vụ việc TGPL và nâng cao chất lượng TGPL. Vai trò của người thực hiện TGPL, đặc biệt là trợ giúp viên pháp lý ngày càng được ghi nhận. Người dân đã tin tưởng và lựa chọn trợ giúp viên pháp lý thực hiện vụ việc TGPL</w:t>
      </w:r>
      <w:r w:rsidRPr="00D543A3">
        <w:rPr>
          <w:rStyle w:val="FootnoteReference"/>
          <w:szCs w:val="28"/>
          <w:lang w:val="nl-NL"/>
        </w:rPr>
        <w:footnoteReference w:id="3"/>
      </w:r>
      <w:r w:rsidRPr="00D543A3">
        <w:rPr>
          <w:rFonts w:eastAsia="Times New Roman"/>
          <w:lang w:val="nl-NL"/>
        </w:rPr>
        <w:t>. Những kết quả mà công tác TGPL đạt được trong thời gian qua được Đảng, Nhà nước ghi nhận, đánh giá cao, góp phần “giảm nghèo” về pháp luật và thúc đẩy phát triển kinh tế - xã hội của đất nước.</w:t>
      </w:r>
    </w:p>
    <w:p w14:paraId="0F1DEC9E" w14:textId="77777777" w:rsidR="00402F39" w:rsidRPr="00D543A3" w:rsidRDefault="00402F39" w:rsidP="00C62FF6">
      <w:pPr>
        <w:ind w:firstLine="567"/>
        <w:jc w:val="both"/>
        <w:rPr>
          <w:rFonts w:eastAsia="Times New Roman"/>
          <w:lang w:val="nl-NL"/>
        </w:rPr>
      </w:pPr>
      <w:r w:rsidRPr="00D543A3">
        <w:rPr>
          <w:rFonts w:eastAsia="Times New Roman"/>
          <w:lang w:val="nl-NL"/>
        </w:rPr>
        <w:t xml:space="preserve">Tuy nhiên, quá trình triển khai thực hiện Luật TGPL năm 2017 cũng bộc lộ một số khó khăn, bất cập như sau: </w:t>
      </w:r>
    </w:p>
    <w:p w14:paraId="0A0B2605" w14:textId="5D185C5D" w:rsidR="00402F39" w:rsidRPr="00D543A3" w:rsidRDefault="00402F39" w:rsidP="00C62FF6">
      <w:pPr>
        <w:ind w:firstLine="567"/>
        <w:jc w:val="both"/>
        <w:rPr>
          <w:iCs/>
          <w:lang w:val="nl-NL"/>
        </w:rPr>
      </w:pPr>
      <w:r w:rsidRPr="00D543A3">
        <w:rPr>
          <w:rFonts w:eastAsia="Times New Roman"/>
          <w:lang w:val="nl-NL"/>
        </w:rPr>
        <w:t xml:space="preserve">- </w:t>
      </w:r>
      <w:r w:rsidR="005E72A2">
        <w:rPr>
          <w:rFonts w:eastAsia="Times New Roman"/>
          <w:lang w:val="nl-NL"/>
        </w:rPr>
        <w:t xml:space="preserve">Về </w:t>
      </w:r>
      <w:r w:rsidRPr="00D543A3">
        <w:rPr>
          <w:rFonts w:eastAsia="Times New Roman"/>
          <w:lang w:val="nl-NL"/>
        </w:rPr>
        <w:t>diện người được TGPL, một số nhóm người thuộc chính sách người có công (</w:t>
      </w:r>
      <w:r w:rsidRPr="00D543A3">
        <w:rPr>
          <w:iCs/>
          <w:lang w:val="nl-NL"/>
        </w:rPr>
        <w:t>gồm cha đẻ, mẹ đẻ, vợ, chồng, con của liệt sĩ và người có công nuôi dưỡng khi liệt sĩ còn nhỏ), người nhiễm chất độc da cam, n</w:t>
      </w:r>
      <w:r w:rsidRPr="00D543A3">
        <w:rPr>
          <w:rFonts w:eastAsia="Times New Roman"/>
          <w:lang w:val="nl-NL"/>
        </w:rPr>
        <w:t xml:space="preserve">gười khuyết tật... thuộc nhóm “đối tượng đặc thù”, gặp nhiều khó khăn trong cuộc sống, nhưng hiện nay </w:t>
      </w:r>
      <w:r w:rsidRPr="00D543A3">
        <w:rPr>
          <w:iCs/>
          <w:lang w:val="nl-NL"/>
        </w:rPr>
        <w:t>phải chứng minh điều kiện khó khăn về tài chính</w:t>
      </w:r>
      <w:r w:rsidRPr="00D543A3">
        <w:rPr>
          <w:rFonts w:eastAsia="Times New Roman"/>
          <w:lang w:val="nl-NL"/>
        </w:rPr>
        <w:t xml:space="preserve"> mới thuộc diện được TGPL. </w:t>
      </w:r>
      <w:r w:rsidRPr="00D543A3">
        <w:rPr>
          <w:iCs/>
          <w:lang w:val="nl-NL"/>
        </w:rPr>
        <w:t>Bị hại trong vụ án hình sự thuộc diện được TGPL đang chỉ giới hạn ở nhóm người từ đủ 16 đến dưới 18 tuổi có khó khăn về tài chính. Bên cạnh đó, một số nhóm người “dễ bị tổn thương” hoặc đang cần trợ giúp nhưng chưa được xác định là người được TGPL. Ví dụ: người dân tộc thiểu số rất ít người; người rơi vào hoàn cảnh khó khăn về tài chính do gặp thiên tai, dịch bệnh, hỏa hoạn, mất mùa, sự kiện bất khả kháng, tình trạng khẩn cấp theo quy định của pháp luật..</w:t>
      </w:r>
      <w:r w:rsidR="00680C31">
        <w:rPr>
          <w:iCs/>
          <w:lang w:val="nl-NL"/>
        </w:rPr>
        <w:t>.</w:t>
      </w:r>
      <w:r w:rsidRPr="00D543A3">
        <w:rPr>
          <w:iCs/>
          <w:lang w:val="nl-NL"/>
        </w:rPr>
        <w:t xml:space="preserve"> Ngoài ra,</w:t>
      </w:r>
      <w:r w:rsidRPr="00D543A3">
        <w:rPr>
          <w:rFonts w:eastAsia="Times New Roman"/>
          <w:lang w:val="nl-NL"/>
        </w:rPr>
        <w:t xml:space="preserve"> thời gian gần đây, Việt Nam đã ký kết nhiều điều ước quốc tế, trong đó có các Hiệp định tương trợ tư pháp về dân sự, quy định việc TGPL cho công dân của bên ký kết điều ước quốc tế với Việt Nam, nhưng Luật TGPL năm 2017 chưa có quy định về nhóm đối tượng này</w:t>
      </w:r>
      <w:r w:rsidRPr="00D543A3">
        <w:rPr>
          <w:iCs/>
          <w:lang w:val="nl-NL"/>
        </w:rPr>
        <w:t xml:space="preserve">. </w:t>
      </w:r>
    </w:p>
    <w:p w14:paraId="68BE3F44" w14:textId="5E4F9208" w:rsidR="00402F39" w:rsidRPr="00D543A3" w:rsidRDefault="00402F39" w:rsidP="00C62FF6">
      <w:pPr>
        <w:ind w:firstLine="567"/>
        <w:jc w:val="both"/>
        <w:rPr>
          <w:rFonts w:eastAsia="Times New Roman"/>
          <w:lang w:val="nl-NL"/>
        </w:rPr>
      </w:pPr>
      <w:r w:rsidRPr="00D543A3">
        <w:rPr>
          <w:rFonts w:eastAsia="Times New Roman"/>
          <w:lang w:val="nl-NL"/>
        </w:rPr>
        <w:lastRenderedPageBreak/>
        <w:t>- Về trợ giúp viên pháp lý, Luật TGPL quy định tiêu chuẩn của trợ giúp viên pháp lý tương đối phù hợp. Tuy nhiên, các quy định về bổ nhiệm, cấp thẻ trợ giúp viên pháp lý chưa thật sự chặt chẽ, chưa phù hợp với vai trò và tính chất đặc thù nghề nghi</w:t>
      </w:r>
      <w:r w:rsidR="005E72A2">
        <w:rPr>
          <w:rFonts w:eastAsia="Times New Roman"/>
          <w:lang w:val="nl-NL"/>
        </w:rPr>
        <w:t xml:space="preserve">ệp TGPL, trong khi trên thực tế, </w:t>
      </w:r>
      <w:r w:rsidRPr="00D543A3">
        <w:rPr>
          <w:rFonts w:eastAsia="Times New Roman"/>
          <w:lang w:val="nl-NL"/>
        </w:rPr>
        <w:t>đây là nghề có sự tương đồng với nghề luật sư. Điều này cũng đang làm ảnh hưởng đến chất lượng của hoạt động TGPL và niềm tin của xã hội đối với đội ngũ này.</w:t>
      </w:r>
    </w:p>
    <w:p w14:paraId="658E0F68" w14:textId="6E10F44F" w:rsidR="00402F39" w:rsidRPr="00D543A3" w:rsidRDefault="00402F39" w:rsidP="00C62FF6">
      <w:pPr>
        <w:ind w:firstLine="567"/>
        <w:jc w:val="both"/>
        <w:rPr>
          <w:lang w:val="nl-NL"/>
        </w:rPr>
      </w:pPr>
      <w:r w:rsidRPr="00D543A3">
        <w:rPr>
          <w:rFonts w:eastAsia="Times New Roman"/>
          <w:lang w:val="nl-NL"/>
        </w:rPr>
        <w:t>- Về cộng tác viên TGPL, Luật TGPL năm 2017 đang giới hạn chỉ một số nhóm người</w:t>
      </w:r>
      <w:r w:rsidRPr="00D543A3">
        <w:rPr>
          <w:lang w:val="nl-NL"/>
        </w:rPr>
        <w:t xml:space="preserve"> </w:t>
      </w:r>
      <w:r w:rsidRPr="00D543A3">
        <w:rPr>
          <w:rFonts w:eastAsia="Times New Roman"/>
          <w:lang w:val="nl-NL"/>
        </w:rPr>
        <w:t xml:space="preserve">có thể trở thành cộng tác viên TGPL gồm: trợ giúp viên pháp lý; thẩm phán, thẩm tra viên ngành Tòa án; kiểm sát viên, kiểm tra viên ngành kiểm sát; điều tra viên; chấp hành viên, thẩm tra viên thi hành án dân sự; chuyên viên làm công tác pháp luật tại các cơ quan nhà nước đã nghỉ hưu. Mặt khác, Luật đang giới hạn và chỉ cho các Trung tâm TGPL ký kết hợp đồng với cộng tác viên ở “vùng có điều kiện kinh tế - xã hội đặc biệt khó khăn”. Bên cạnh đó, cộng tác viên TGPL chỉ được thực hiện các vụ việc TGPL theo hình thức tư vấn pháp luật mà không được đại diện ngoài tố tụng. Các quy định này chưa thu hút được người có trình độ, có năng lực trong xã hội tham gia TGPL, không mở rộng được mạng lưới người thực hiện TGPL ở các địa bàn khác để đáp ứng nhu cầu TGPL của người dân. </w:t>
      </w:r>
      <w:r w:rsidRPr="00D543A3">
        <w:rPr>
          <w:lang w:val="nl-NL"/>
        </w:rPr>
        <w:t xml:space="preserve"> </w:t>
      </w:r>
    </w:p>
    <w:p w14:paraId="15F204B7" w14:textId="77777777" w:rsidR="00402F39" w:rsidRPr="00D543A3" w:rsidRDefault="00402F39" w:rsidP="00C62FF6">
      <w:pPr>
        <w:ind w:firstLine="567"/>
        <w:jc w:val="both"/>
        <w:rPr>
          <w:bCs/>
          <w:lang w:val="nl-NL"/>
        </w:rPr>
      </w:pPr>
      <w:r w:rsidRPr="00D543A3">
        <w:rPr>
          <w:rFonts w:eastAsia="Times New Roman"/>
          <w:lang w:val="nl-NL"/>
        </w:rPr>
        <w:t xml:space="preserve">- Về tổ chức thực hiện TGPL, </w:t>
      </w:r>
      <w:r w:rsidRPr="00D543A3">
        <w:rPr>
          <w:lang w:val="nl-NL"/>
        </w:rPr>
        <w:t>k</w:t>
      </w:r>
      <w:r w:rsidRPr="00D543A3">
        <w:rPr>
          <w:bCs/>
          <w:lang w:val="nl-NL"/>
        </w:rPr>
        <w:t xml:space="preserve">hoản 2 Điều 11 Luật TGPL </w:t>
      </w:r>
      <w:r w:rsidRPr="00D543A3">
        <w:rPr>
          <w:bCs/>
        </w:rPr>
        <w:t xml:space="preserve">năm </w:t>
      </w:r>
      <w:r w:rsidRPr="00D543A3">
        <w:rPr>
          <w:bCs/>
          <w:lang w:val="nl-NL"/>
        </w:rPr>
        <w:t>2017</w:t>
      </w:r>
      <w:r w:rsidRPr="00D543A3">
        <w:rPr>
          <w:b/>
        </w:rPr>
        <w:t xml:space="preserve"> </w:t>
      </w:r>
      <w:r w:rsidRPr="00D543A3">
        <w:rPr>
          <w:lang w:val="nl-NL"/>
        </w:rPr>
        <w:t>quy định Chi nhánh của Trung tâm</w:t>
      </w:r>
      <w:r w:rsidRPr="00D543A3">
        <w:rPr>
          <w:i/>
          <w:iCs/>
          <w:lang w:val="nl-NL"/>
        </w:rPr>
        <w:t>“</w:t>
      </w:r>
      <w:r w:rsidRPr="00D543A3">
        <w:rPr>
          <w:i/>
          <w:iCs/>
          <w:shd w:val="clear" w:color="auto" w:fill="FFFFFF"/>
          <w:lang w:val="hr-HR"/>
        </w:rPr>
        <w:t>đư</w:t>
      </w:r>
      <w:r w:rsidRPr="00D543A3">
        <w:rPr>
          <w:i/>
          <w:iCs/>
          <w:shd w:val="clear" w:color="auto" w:fill="FFFFFF"/>
          <w:lang w:val="nl-NL"/>
        </w:rPr>
        <w:t>ợc th</w:t>
      </w:r>
      <w:r w:rsidRPr="00D543A3">
        <w:rPr>
          <w:i/>
          <w:iCs/>
          <w:shd w:val="clear" w:color="auto" w:fill="FFFFFF"/>
          <w:lang w:val="hr-HR"/>
        </w:rPr>
        <w:t>à</w:t>
      </w:r>
      <w:r w:rsidRPr="00D543A3">
        <w:rPr>
          <w:i/>
          <w:iCs/>
          <w:shd w:val="clear" w:color="auto" w:fill="FFFFFF"/>
          <w:lang w:val="nl-NL"/>
        </w:rPr>
        <w:t>nh lập tại c</w:t>
      </w:r>
      <w:r w:rsidRPr="00D543A3">
        <w:rPr>
          <w:i/>
          <w:iCs/>
          <w:shd w:val="clear" w:color="auto" w:fill="FFFFFF"/>
          <w:lang w:val="hr-HR"/>
        </w:rPr>
        <w:t>á</w:t>
      </w:r>
      <w:r w:rsidRPr="00D543A3">
        <w:rPr>
          <w:i/>
          <w:iCs/>
          <w:shd w:val="clear" w:color="auto" w:fill="FFFFFF"/>
          <w:lang w:val="nl-NL"/>
        </w:rPr>
        <w:t>c huyện ở v</w:t>
      </w:r>
      <w:r w:rsidRPr="00D543A3">
        <w:rPr>
          <w:i/>
          <w:iCs/>
          <w:shd w:val="clear" w:color="auto" w:fill="FFFFFF"/>
          <w:lang w:val="hr-HR"/>
        </w:rPr>
        <w:t>ù</w:t>
      </w:r>
      <w:r w:rsidRPr="00D543A3">
        <w:rPr>
          <w:i/>
          <w:iCs/>
          <w:shd w:val="clear" w:color="auto" w:fill="FFFFFF"/>
          <w:lang w:val="nl-NL"/>
        </w:rPr>
        <w:t>ng c</w:t>
      </w:r>
      <w:r w:rsidRPr="00D543A3">
        <w:rPr>
          <w:i/>
          <w:iCs/>
          <w:shd w:val="clear" w:color="auto" w:fill="FFFFFF"/>
          <w:lang w:val="hr-HR"/>
        </w:rPr>
        <w:t>ó điều</w:t>
      </w:r>
      <w:r w:rsidRPr="00D543A3">
        <w:rPr>
          <w:i/>
          <w:iCs/>
          <w:shd w:val="clear" w:color="auto" w:fill="FFFFFF"/>
          <w:lang w:val="nl-NL"/>
        </w:rPr>
        <w:t> kiện kinh tế</w:t>
      </w:r>
      <w:r w:rsidRPr="00D543A3">
        <w:rPr>
          <w:i/>
          <w:iCs/>
          <w:shd w:val="clear" w:color="auto" w:fill="FFFFFF"/>
          <w:lang w:val="hr-HR"/>
        </w:rPr>
        <w:t> - </w:t>
      </w:r>
      <w:r w:rsidRPr="00D543A3">
        <w:rPr>
          <w:i/>
          <w:iCs/>
          <w:shd w:val="clear" w:color="auto" w:fill="FFFFFF"/>
          <w:lang w:val="nl-NL"/>
        </w:rPr>
        <w:t>x</w:t>
      </w:r>
      <w:r w:rsidRPr="00D543A3">
        <w:rPr>
          <w:i/>
          <w:iCs/>
          <w:shd w:val="clear" w:color="auto" w:fill="FFFFFF"/>
          <w:lang w:val="hr-HR"/>
        </w:rPr>
        <w:t>ã </w:t>
      </w:r>
      <w:r w:rsidRPr="00D543A3">
        <w:rPr>
          <w:i/>
          <w:iCs/>
          <w:shd w:val="clear" w:color="auto" w:fill="FFFFFF"/>
          <w:lang w:val="nl-NL"/>
        </w:rPr>
        <w:t>hội</w:t>
      </w:r>
      <w:r w:rsidRPr="00D543A3">
        <w:rPr>
          <w:i/>
          <w:iCs/>
          <w:shd w:val="clear" w:color="auto" w:fill="FFFFFF"/>
          <w:lang w:val="hr-HR"/>
        </w:rPr>
        <w:t> đ</w:t>
      </w:r>
      <w:r w:rsidRPr="00D543A3">
        <w:rPr>
          <w:i/>
          <w:iCs/>
          <w:shd w:val="clear" w:color="auto" w:fill="FFFFFF"/>
          <w:lang w:val="nl-NL"/>
        </w:rPr>
        <w:t>ặc biệt kh</w:t>
      </w:r>
      <w:r w:rsidRPr="00D543A3">
        <w:rPr>
          <w:i/>
          <w:iCs/>
          <w:shd w:val="clear" w:color="auto" w:fill="FFFFFF"/>
          <w:lang w:val="hr-HR"/>
        </w:rPr>
        <w:t>ó </w:t>
      </w:r>
      <w:r w:rsidRPr="00D543A3">
        <w:rPr>
          <w:i/>
          <w:iCs/>
          <w:shd w:val="clear" w:color="auto" w:fill="FFFFFF"/>
          <w:lang w:val="nl-NL"/>
        </w:rPr>
        <w:t>kh</w:t>
      </w:r>
      <w:r w:rsidRPr="00D543A3">
        <w:rPr>
          <w:i/>
          <w:iCs/>
          <w:shd w:val="clear" w:color="auto" w:fill="FFFFFF"/>
          <w:lang w:val="hr-HR"/>
        </w:rPr>
        <w:t>ă</w:t>
      </w:r>
      <w:r w:rsidRPr="00D543A3">
        <w:rPr>
          <w:i/>
          <w:iCs/>
          <w:shd w:val="clear" w:color="auto" w:fill="FFFFFF"/>
          <w:lang w:val="nl-NL"/>
        </w:rPr>
        <w:t>n</w:t>
      </w:r>
      <w:r w:rsidRPr="00D543A3">
        <w:rPr>
          <w:i/>
          <w:iCs/>
          <w:shd w:val="clear" w:color="auto" w:fill="FFFFFF"/>
          <w:lang w:val="hr-HR"/>
        </w:rPr>
        <w:t>, </w:t>
      </w:r>
      <w:r w:rsidRPr="00D543A3">
        <w:rPr>
          <w:i/>
          <w:iCs/>
          <w:shd w:val="clear" w:color="auto" w:fill="FFFFFF"/>
          <w:lang w:val="nl-NL"/>
        </w:rPr>
        <w:t>giao th</w:t>
      </w:r>
      <w:r w:rsidRPr="00D543A3">
        <w:rPr>
          <w:i/>
          <w:iCs/>
          <w:shd w:val="clear" w:color="auto" w:fill="FFFFFF"/>
          <w:lang w:val="hr-HR"/>
        </w:rPr>
        <w:t>ô</w:t>
      </w:r>
      <w:r w:rsidRPr="00D543A3">
        <w:rPr>
          <w:i/>
          <w:iCs/>
          <w:shd w:val="clear" w:color="auto" w:fill="FFFFFF"/>
          <w:lang w:val="nl-NL"/>
        </w:rPr>
        <w:t>ng kh</w:t>
      </w:r>
      <w:r w:rsidRPr="00D543A3">
        <w:rPr>
          <w:i/>
          <w:iCs/>
          <w:shd w:val="clear" w:color="auto" w:fill="FFFFFF"/>
          <w:lang w:val="hr-HR"/>
        </w:rPr>
        <w:t>ô</w:t>
      </w:r>
      <w:r w:rsidRPr="00D543A3">
        <w:rPr>
          <w:i/>
          <w:iCs/>
          <w:shd w:val="clear" w:color="auto" w:fill="FFFFFF"/>
          <w:lang w:val="nl-NL"/>
        </w:rPr>
        <w:t>ng thuận tiện</w:t>
      </w:r>
      <w:r w:rsidRPr="00D543A3">
        <w:rPr>
          <w:i/>
          <w:iCs/>
          <w:shd w:val="clear" w:color="auto" w:fill="FFFFFF"/>
          <w:lang w:val="hr-HR"/>
        </w:rPr>
        <w:t> đ</w:t>
      </w:r>
      <w:r w:rsidRPr="00D543A3">
        <w:rPr>
          <w:i/>
          <w:iCs/>
          <w:shd w:val="clear" w:color="auto" w:fill="FFFFFF"/>
          <w:lang w:val="nl-NL"/>
        </w:rPr>
        <w:t>ến Trung t</w:t>
      </w:r>
      <w:r w:rsidRPr="00D543A3">
        <w:rPr>
          <w:i/>
          <w:iCs/>
          <w:shd w:val="clear" w:color="auto" w:fill="FFFFFF"/>
          <w:lang w:val="hr-HR"/>
        </w:rPr>
        <w:t>â</w:t>
      </w:r>
      <w:r w:rsidRPr="00D543A3">
        <w:rPr>
          <w:i/>
          <w:iCs/>
          <w:shd w:val="clear" w:color="auto" w:fill="FFFFFF"/>
          <w:lang w:val="nl-NL"/>
        </w:rPr>
        <w:t>m TGPL nh</w:t>
      </w:r>
      <w:r w:rsidRPr="00D543A3">
        <w:rPr>
          <w:i/>
          <w:iCs/>
          <w:shd w:val="clear" w:color="auto" w:fill="FFFFFF"/>
          <w:lang w:val="hr-HR"/>
        </w:rPr>
        <w:t>à </w:t>
      </w:r>
      <w:r w:rsidRPr="00D543A3">
        <w:rPr>
          <w:i/>
          <w:iCs/>
          <w:shd w:val="clear" w:color="auto" w:fill="FFFFFF"/>
          <w:lang w:val="nl-NL"/>
        </w:rPr>
        <w:t>n</w:t>
      </w:r>
      <w:r w:rsidRPr="00D543A3">
        <w:rPr>
          <w:i/>
          <w:iCs/>
          <w:shd w:val="clear" w:color="auto" w:fill="FFFFFF"/>
          <w:lang w:val="hr-HR"/>
        </w:rPr>
        <w:t>ư</w:t>
      </w:r>
      <w:r w:rsidRPr="00D543A3">
        <w:rPr>
          <w:i/>
          <w:iCs/>
          <w:shd w:val="clear" w:color="auto" w:fill="FFFFFF"/>
          <w:lang w:val="nl-NL"/>
        </w:rPr>
        <w:t>ớc và ch</w:t>
      </w:r>
      <w:r w:rsidRPr="00D543A3">
        <w:rPr>
          <w:i/>
          <w:iCs/>
          <w:shd w:val="clear" w:color="auto" w:fill="FFFFFF"/>
          <w:lang w:val="hr-HR"/>
        </w:rPr>
        <w:t>ư</w:t>
      </w:r>
      <w:r w:rsidRPr="00D543A3">
        <w:rPr>
          <w:i/>
          <w:iCs/>
          <w:shd w:val="clear" w:color="auto" w:fill="FFFFFF"/>
          <w:lang w:val="nl-NL"/>
        </w:rPr>
        <w:t>a c</w:t>
      </w:r>
      <w:r w:rsidRPr="00D543A3">
        <w:rPr>
          <w:i/>
          <w:iCs/>
          <w:shd w:val="clear" w:color="auto" w:fill="FFFFFF"/>
          <w:lang w:val="hr-HR"/>
        </w:rPr>
        <w:t>ó </w:t>
      </w:r>
      <w:r w:rsidRPr="00D543A3">
        <w:rPr>
          <w:i/>
          <w:iCs/>
          <w:shd w:val="clear" w:color="auto" w:fill="FFFFFF"/>
          <w:lang w:val="nl-NL"/>
        </w:rPr>
        <w:t>tổ chức h</w:t>
      </w:r>
      <w:r w:rsidRPr="00D543A3">
        <w:rPr>
          <w:i/>
          <w:iCs/>
          <w:shd w:val="clear" w:color="auto" w:fill="FFFFFF"/>
          <w:lang w:val="hr-HR"/>
        </w:rPr>
        <w:t>à</w:t>
      </w:r>
      <w:r w:rsidRPr="00D543A3">
        <w:rPr>
          <w:i/>
          <w:iCs/>
          <w:shd w:val="clear" w:color="auto" w:fill="FFFFFF"/>
          <w:lang w:val="nl-NL"/>
        </w:rPr>
        <w:t>nh nghề luật s</w:t>
      </w:r>
      <w:r w:rsidRPr="00D543A3">
        <w:rPr>
          <w:i/>
          <w:iCs/>
          <w:shd w:val="clear" w:color="auto" w:fill="FFFFFF"/>
          <w:lang w:val="hr-HR"/>
        </w:rPr>
        <w:t>ư </w:t>
      </w:r>
      <w:r w:rsidRPr="00D543A3">
        <w:rPr>
          <w:i/>
          <w:iCs/>
          <w:shd w:val="clear" w:color="auto" w:fill="FFFFFF"/>
          <w:lang w:val="nl-NL"/>
        </w:rPr>
        <w:t>hoặc tổ chức t</w:t>
      </w:r>
      <w:r w:rsidRPr="00D543A3">
        <w:rPr>
          <w:i/>
          <w:iCs/>
          <w:shd w:val="clear" w:color="auto" w:fill="FFFFFF"/>
          <w:lang w:val="hr-HR"/>
        </w:rPr>
        <w:t>ư </w:t>
      </w:r>
      <w:r w:rsidRPr="00D543A3">
        <w:rPr>
          <w:i/>
          <w:iCs/>
          <w:shd w:val="clear" w:color="auto" w:fill="FFFFFF"/>
          <w:lang w:val="nl-NL"/>
        </w:rPr>
        <w:t>vấn ph</w:t>
      </w:r>
      <w:r w:rsidRPr="00D543A3">
        <w:rPr>
          <w:i/>
          <w:iCs/>
          <w:shd w:val="clear" w:color="auto" w:fill="FFFFFF"/>
          <w:lang w:val="hr-HR"/>
        </w:rPr>
        <w:t>á</w:t>
      </w:r>
      <w:r w:rsidRPr="00D543A3">
        <w:rPr>
          <w:i/>
          <w:iCs/>
          <w:shd w:val="clear" w:color="auto" w:fill="FFFFFF"/>
          <w:lang w:val="nl-NL"/>
        </w:rPr>
        <w:t>p luật tham gia TGPL</w:t>
      </w:r>
      <w:r w:rsidRPr="00D543A3">
        <w:rPr>
          <w:i/>
          <w:iCs/>
          <w:lang w:val="nl-NL"/>
        </w:rPr>
        <w:t>”</w:t>
      </w:r>
      <w:r w:rsidRPr="00D543A3">
        <w:rPr>
          <w:bCs/>
          <w:lang w:val="nl-NL"/>
        </w:rPr>
        <w:t xml:space="preserve"> </w:t>
      </w:r>
      <w:r w:rsidRPr="00D543A3">
        <w:rPr>
          <w:bCs/>
        </w:rPr>
        <w:t xml:space="preserve">không còn </w:t>
      </w:r>
      <w:r w:rsidRPr="00D543A3">
        <w:rPr>
          <w:bCs/>
          <w:lang w:val="nl-NL"/>
        </w:rPr>
        <w:t xml:space="preserve">phù hợp với mô hình chính quyền địa phương hai cấp, chủ trương đẩy mạnh phân cấp, phân quyền cho địa phương. </w:t>
      </w:r>
    </w:p>
    <w:p w14:paraId="53D612F7" w14:textId="0B956855" w:rsidR="00402F39" w:rsidRPr="00D543A3" w:rsidRDefault="00402F39" w:rsidP="00C62FF6">
      <w:pPr>
        <w:ind w:firstLine="567"/>
        <w:jc w:val="both"/>
        <w:rPr>
          <w:rFonts w:eastAsia="Times New Roman"/>
          <w:lang w:val="nl-NL"/>
        </w:rPr>
      </w:pPr>
      <w:r w:rsidRPr="00D543A3">
        <w:rPr>
          <w:rFonts w:eastAsia="Times New Roman"/>
          <w:lang w:val="nl-NL"/>
        </w:rPr>
        <w:t xml:space="preserve">- Về vai trò của chính quyền cấp xã, sau khi thực hiện tổ chức chính quyền địa phương hai cấp, cấp xã có quy mô lớn hơn, vị trí, vai trò đã được khẳng định ở tầm cao mới. Tuy nhiên, Luật TGPL năm 2017 chưa có quy định cụ thể về vai trò, trách nhiệm của </w:t>
      </w:r>
      <w:r w:rsidR="00F56CBB">
        <w:rPr>
          <w:rFonts w:eastAsia="Times New Roman"/>
          <w:szCs w:val="28"/>
          <w:lang w:val="nl-NL"/>
        </w:rPr>
        <w:t>Ủy ban nhân dân</w:t>
      </w:r>
      <w:r w:rsidRPr="00D543A3">
        <w:rPr>
          <w:rFonts w:eastAsia="Times New Roman"/>
          <w:lang w:val="nl-NL"/>
        </w:rPr>
        <w:t xml:space="preserve"> cấp xã trong việc phối hợp tổ chức công tác TGPL tại địa phương.</w:t>
      </w:r>
    </w:p>
    <w:p w14:paraId="56A26CF7" w14:textId="77777777" w:rsidR="00402F39" w:rsidRPr="00D543A3" w:rsidRDefault="00402F39" w:rsidP="00C62FF6">
      <w:pPr>
        <w:ind w:firstLine="567"/>
        <w:jc w:val="both"/>
        <w:rPr>
          <w:rFonts w:eastAsia="Times New Roman"/>
          <w:lang w:val="nl-NL"/>
        </w:rPr>
      </w:pPr>
      <w:r w:rsidRPr="00D543A3">
        <w:rPr>
          <w:rFonts w:eastAsia="Times New Roman"/>
          <w:lang w:val="nl-NL"/>
        </w:rPr>
        <w:t>- Việc ứng dụng công nghệ thông tin, chuyển đổi số, tạo lập, kết nối dữ liệu TGPL là nhu cầu tất yếu, vừa giúp cải cách thủ tục hành chính, nâng cao hiệu suất, hiệu quả quản lý nhà nước, vừa tạo điều kiện thuận lợi cho người dân. Tuy nhiên, Luật TGPL năm 2017 chưa có quy định về vấn đề này.</w:t>
      </w:r>
    </w:p>
    <w:p w14:paraId="303B1FDD" w14:textId="5EBA1048" w:rsidR="00402F39" w:rsidRPr="00D543A3" w:rsidRDefault="00402F39" w:rsidP="00C62FF6">
      <w:pPr>
        <w:ind w:firstLine="567"/>
        <w:jc w:val="both"/>
        <w:rPr>
          <w:rFonts w:eastAsia="Times New Roman"/>
          <w:lang w:val="nl-NL"/>
        </w:rPr>
      </w:pPr>
      <w:r w:rsidRPr="00D543A3">
        <w:rPr>
          <w:rFonts w:eastAsia="Times New Roman"/>
          <w:lang w:val="nl-NL"/>
        </w:rPr>
        <w:t>- Luật TGPL năm 2017 có một số quy định về thành phần hồ sơ, trình tự thực hiện TGPL (yêu cầu TGPL, hồ sơ vụ việc TGPL, thời hạn cử người thực hiện TGPL, bổ nhiệm, miễn nhiệm và cấp</w:t>
      </w:r>
      <w:r w:rsidR="005E72A2">
        <w:rPr>
          <w:rFonts w:eastAsia="Times New Roman"/>
          <w:lang w:val="nl-NL"/>
        </w:rPr>
        <w:t xml:space="preserve"> thẻ trợ giúp viên pháp lý...) </w:t>
      </w:r>
      <w:r w:rsidRPr="00D543A3">
        <w:rPr>
          <w:rFonts w:eastAsia="Times New Roman"/>
          <w:lang w:val="nl-NL"/>
        </w:rPr>
        <w:t xml:space="preserve">chưa phù hợp với định hướng đổi mới tư duy về xây dựng pháp luật hiện nay là luật chỉ quy định những vấn đề chung, vấn đề có tính nguyên tắc thuộc thẩm quyền của </w:t>
      </w:r>
      <w:r w:rsidRPr="00D543A3">
        <w:rPr>
          <w:rFonts w:eastAsia="Times New Roman"/>
          <w:lang w:val="nl-NL"/>
        </w:rPr>
        <w:lastRenderedPageBreak/>
        <w:t>Quốc hội; những vấn đề thực tiễn thường xuyên biến động thì quy định tại văn bản dưới luật để bảo đảm linh hoạt, phù hợp với thực tiễn.</w:t>
      </w:r>
    </w:p>
    <w:p w14:paraId="67423CD8" w14:textId="77777777" w:rsidR="00402F39" w:rsidRPr="005D4DBC" w:rsidRDefault="00402F39" w:rsidP="00C62FF6">
      <w:pPr>
        <w:ind w:firstLine="567"/>
        <w:jc w:val="both"/>
        <w:rPr>
          <w:rFonts w:eastAsia="Times New Roman"/>
          <w:spacing w:val="2"/>
          <w:lang w:val="nl-NL"/>
        </w:rPr>
      </w:pPr>
      <w:r w:rsidRPr="005D4DBC">
        <w:rPr>
          <w:bCs/>
          <w:spacing w:val="2"/>
          <w:lang w:val="nl-NL"/>
        </w:rPr>
        <w:t>Từ các cơ sở chính trị, pháp lý và thực tiễn nêu trên, việc sửa đổi, bổ sung một số điều của Luật TGPL năm 2017 là cần thiết, nhằm giải quyết những bất cập, hạn chế trong quy định hiện hành của Luật, nâng cao chất lượng TGPL và đáp ứng yêu cầu bảo đảm quyền được tiếp cận công lý của người dân, đặc biệt là các nhóm “yếu thế” trong xã hội, phù hợp với các chính sách của Đảng và Nhà nước ta về an sinh và công bằng xã hội theo phương châm “không ai bị bỏ lại phía sau”.</w:t>
      </w:r>
    </w:p>
    <w:p w14:paraId="73252952" w14:textId="77777777" w:rsidR="00402F39" w:rsidRPr="00D543A3" w:rsidRDefault="00402F39" w:rsidP="00C62FF6">
      <w:pPr>
        <w:ind w:firstLine="567"/>
        <w:jc w:val="both"/>
        <w:rPr>
          <w:rStyle w:val="title-h1"/>
          <w:rFonts w:ascii="Times New Roman" w:hAnsi="Times New Roman"/>
          <w:sz w:val="28"/>
          <w:szCs w:val="28"/>
          <w:lang w:val="hr-HR"/>
        </w:rPr>
      </w:pPr>
      <w:r w:rsidRPr="00D543A3">
        <w:rPr>
          <w:b/>
          <w:lang w:val="nl-NL"/>
        </w:rPr>
        <w:t>II</w:t>
      </w:r>
      <w:r w:rsidRPr="00D543A3">
        <w:rPr>
          <w:b/>
          <w:lang w:val="hr-HR"/>
        </w:rPr>
        <w:t xml:space="preserve">. </w:t>
      </w:r>
      <w:r w:rsidRPr="00D543A3">
        <w:rPr>
          <w:rStyle w:val="title-h1"/>
          <w:rFonts w:ascii="Times New Roman" w:hAnsi="Times New Roman"/>
          <w:sz w:val="28"/>
          <w:szCs w:val="28"/>
          <w:lang w:val="hr-HR"/>
        </w:rPr>
        <w:t xml:space="preserve">MỤC </w:t>
      </w:r>
      <w:r w:rsidRPr="00D543A3">
        <w:rPr>
          <w:rStyle w:val="title-h1"/>
          <w:rFonts w:ascii="Times New Roman" w:hAnsi="Times New Roman"/>
          <w:sz w:val="28"/>
          <w:szCs w:val="28"/>
          <w:lang w:val="nl-NL"/>
        </w:rPr>
        <w:t>ĐÍCH BAN HÀNH</w:t>
      </w:r>
      <w:r w:rsidRPr="00D543A3">
        <w:rPr>
          <w:rStyle w:val="title-h1"/>
          <w:rFonts w:ascii="Times New Roman" w:hAnsi="Times New Roman"/>
          <w:sz w:val="28"/>
          <w:szCs w:val="28"/>
          <w:lang w:val="hr-HR"/>
        </w:rPr>
        <w:t xml:space="preserve">, </w:t>
      </w:r>
      <w:r w:rsidRPr="00D543A3">
        <w:rPr>
          <w:rStyle w:val="title-h1"/>
          <w:rFonts w:ascii="Times New Roman" w:hAnsi="Times New Roman"/>
          <w:sz w:val="28"/>
          <w:szCs w:val="28"/>
          <w:lang w:val="es-MX"/>
        </w:rPr>
        <w:t>QUAN</w:t>
      </w:r>
      <w:r w:rsidRPr="00D543A3">
        <w:rPr>
          <w:rStyle w:val="title-h1"/>
          <w:rFonts w:ascii="Times New Roman" w:hAnsi="Times New Roman"/>
          <w:sz w:val="28"/>
          <w:szCs w:val="28"/>
          <w:lang w:val="hr-HR"/>
        </w:rPr>
        <w:t xml:space="preserve"> Đ</w:t>
      </w:r>
      <w:r w:rsidRPr="00D543A3">
        <w:rPr>
          <w:rStyle w:val="title-h1"/>
          <w:rFonts w:ascii="Times New Roman" w:hAnsi="Times New Roman"/>
          <w:sz w:val="28"/>
          <w:szCs w:val="28"/>
          <w:lang w:val="es-MX"/>
        </w:rPr>
        <w:t>IỂM</w:t>
      </w:r>
      <w:r w:rsidRPr="00D543A3">
        <w:rPr>
          <w:rStyle w:val="title-h1"/>
          <w:rFonts w:ascii="Times New Roman" w:hAnsi="Times New Roman"/>
          <w:sz w:val="28"/>
          <w:szCs w:val="28"/>
          <w:lang w:val="hr-HR"/>
        </w:rPr>
        <w:t xml:space="preserve"> </w:t>
      </w:r>
      <w:r w:rsidRPr="00D543A3">
        <w:rPr>
          <w:rStyle w:val="title-h1"/>
          <w:rFonts w:ascii="Times New Roman" w:hAnsi="Times New Roman"/>
          <w:sz w:val="28"/>
          <w:szCs w:val="28"/>
          <w:lang w:val="es-MX"/>
        </w:rPr>
        <w:t>X</w:t>
      </w:r>
      <w:r w:rsidRPr="00D543A3">
        <w:rPr>
          <w:rStyle w:val="title-h1"/>
          <w:rFonts w:ascii="Times New Roman" w:hAnsi="Times New Roman"/>
          <w:sz w:val="28"/>
          <w:szCs w:val="28"/>
          <w:lang w:val="hr-HR"/>
        </w:rPr>
        <w:t>Â</w:t>
      </w:r>
      <w:r w:rsidRPr="00D543A3">
        <w:rPr>
          <w:rStyle w:val="title-h1"/>
          <w:rFonts w:ascii="Times New Roman" w:hAnsi="Times New Roman"/>
          <w:sz w:val="28"/>
          <w:szCs w:val="28"/>
          <w:lang w:val="es-MX"/>
        </w:rPr>
        <w:t>Y</w:t>
      </w:r>
      <w:r w:rsidRPr="00D543A3">
        <w:rPr>
          <w:rStyle w:val="title-h1"/>
          <w:rFonts w:ascii="Times New Roman" w:hAnsi="Times New Roman"/>
          <w:sz w:val="28"/>
          <w:szCs w:val="28"/>
          <w:lang w:val="hr-HR"/>
        </w:rPr>
        <w:t xml:space="preserve"> </w:t>
      </w:r>
      <w:r w:rsidRPr="00D543A3">
        <w:rPr>
          <w:rStyle w:val="title-h1"/>
          <w:rFonts w:ascii="Times New Roman" w:hAnsi="Times New Roman"/>
          <w:sz w:val="28"/>
          <w:szCs w:val="28"/>
          <w:lang w:val="es-MX"/>
        </w:rPr>
        <w:t>DỰNG</w:t>
      </w:r>
      <w:r w:rsidRPr="00D543A3">
        <w:rPr>
          <w:rStyle w:val="title-h1"/>
          <w:rFonts w:ascii="Times New Roman" w:hAnsi="Times New Roman"/>
          <w:sz w:val="28"/>
          <w:szCs w:val="28"/>
          <w:lang w:val="hr-HR"/>
        </w:rPr>
        <w:t xml:space="preserve"> </w:t>
      </w:r>
      <w:r w:rsidRPr="00D543A3">
        <w:rPr>
          <w:rStyle w:val="title-h1"/>
          <w:rFonts w:ascii="Times New Roman" w:hAnsi="Times New Roman"/>
          <w:sz w:val="28"/>
          <w:szCs w:val="28"/>
          <w:lang w:val="es-MX"/>
        </w:rPr>
        <w:t>LUẬT</w:t>
      </w:r>
    </w:p>
    <w:p w14:paraId="73AF1C7B" w14:textId="77777777" w:rsidR="00402F39" w:rsidRPr="00D543A3" w:rsidRDefault="00402F39" w:rsidP="00C62FF6">
      <w:pPr>
        <w:ind w:firstLine="567"/>
        <w:jc w:val="both"/>
        <w:rPr>
          <w:lang w:val="hr-HR"/>
        </w:rPr>
      </w:pPr>
      <w:r w:rsidRPr="00D543A3">
        <w:rPr>
          <w:b/>
          <w:lang w:val="hr-HR"/>
        </w:rPr>
        <w:t>1. Mục đích ban hành</w:t>
      </w:r>
    </w:p>
    <w:p w14:paraId="1FE497E4" w14:textId="77777777" w:rsidR="00402F39" w:rsidRPr="00D543A3" w:rsidRDefault="00402F39" w:rsidP="00C62FF6">
      <w:pPr>
        <w:ind w:firstLine="567"/>
        <w:jc w:val="both"/>
        <w:rPr>
          <w:lang w:val="hr-HR"/>
        </w:rPr>
      </w:pPr>
      <w:r w:rsidRPr="00D543A3">
        <w:rPr>
          <w:lang w:val="hr-HR"/>
        </w:rPr>
        <w:t>Xây dựng Luật sửa đổi, bổ sung một số điều của Luật TGPL nhằm khắc phục một số hạn chế, bất cập của Luật TGPL năm 2017, bảo đảm sự đồng bộ, thống nhất của hệ thống pháp luật; sửa đổi, bổ sung một số quy định nhằm bảo đảm tốt hơn quyền tiếp cận TGPL của người dân, phù hợp với tình hình và điều kiện kinh tế - xã hội của đất nước; nâng cao tính chuyên nghiệp, hiệu quả của công tác TGPL; ứng dụng mạnh mẽ công nghệ số; đáp ứng yêu cầu cải cách tư pháp, cải cách hành chính và thực hiện mô hình chính quyền địa phương hai cấp hiện nay.</w:t>
      </w:r>
    </w:p>
    <w:p w14:paraId="1FA3CD63" w14:textId="77777777" w:rsidR="00402F39" w:rsidRPr="00D543A3" w:rsidRDefault="00402F39" w:rsidP="00C62FF6">
      <w:pPr>
        <w:ind w:firstLine="567"/>
        <w:jc w:val="both"/>
        <w:rPr>
          <w:b/>
          <w:lang w:val="hr-HR"/>
        </w:rPr>
      </w:pPr>
      <w:r w:rsidRPr="00D543A3">
        <w:rPr>
          <w:b/>
          <w:lang w:val="hr-HR"/>
        </w:rPr>
        <w:t>2. Quan điểm xây dựng Luật</w:t>
      </w:r>
    </w:p>
    <w:p w14:paraId="6A0B1459" w14:textId="5CBE86EA" w:rsidR="00402F39" w:rsidRPr="00D543A3" w:rsidRDefault="00402F39" w:rsidP="00C62FF6">
      <w:pPr>
        <w:ind w:firstLine="567"/>
        <w:jc w:val="both"/>
        <w:rPr>
          <w:lang w:val="hr-HR"/>
        </w:rPr>
      </w:pPr>
      <w:r w:rsidRPr="00D543A3">
        <w:rPr>
          <w:lang w:val="hr-HR"/>
        </w:rPr>
        <w:t xml:space="preserve">2.1. Thể chế hóa đầy đủ chủ trương, đường lối mới của Đảng và chính sách, pháp luật của Nhà nước. Trong đó, cụ thể hóa các chỉ đạo của Đảng tại </w:t>
      </w:r>
      <w:r w:rsidR="005E72A2" w:rsidRPr="00D543A3">
        <w:rPr>
          <w:lang w:val="hr-HR"/>
        </w:rPr>
        <w:t xml:space="preserve">Nghị quyết số 27-NQ/TW </w:t>
      </w:r>
      <w:r w:rsidR="005E72A2">
        <w:rPr>
          <w:lang w:val="hr-HR"/>
        </w:rPr>
        <w:t xml:space="preserve">của Ban Chấp hành Trung ương Đảng, </w:t>
      </w:r>
      <w:r w:rsidRPr="00D543A3">
        <w:rPr>
          <w:lang w:val="hr-HR"/>
        </w:rPr>
        <w:t>Nghị quyết số</w:t>
      </w:r>
      <w:r w:rsidR="005E72A2">
        <w:rPr>
          <w:lang w:val="hr-HR"/>
        </w:rPr>
        <w:t xml:space="preserve"> 49-NQ/TW</w:t>
      </w:r>
      <w:r w:rsidRPr="00D543A3">
        <w:rPr>
          <w:lang w:val="hr-HR"/>
        </w:rPr>
        <w:t xml:space="preserve">, Nghị quyết số 66-NQ/TW, Nghị quyết số 68-NQ/TW, Nghị quyết số 57-NQ/TW </w:t>
      </w:r>
      <w:r w:rsidR="005E72A2">
        <w:rPr>
          <w:lang w:val="hr-HR"/>
        </w:rPr>
        <w:t xml:space="preserve">của Bộ Chính trị </w:t>
      </w:r>
      <w:r w:rsidRPr="00D543A3">
        <w:rPr>
          <w:lang w:val="hr-HR"/>
        </w:rPr>
        <w:t xml:space="preserve">và các </w:t>
      </w:r>
      <w:r w:rsidR="00A43E9B">
        <w:rPr>
          <w:lang w:val="hr-HR"/>
        </w:rPr>
        <w:t xml:space="preserve">chủ trương, </w:t>
      </w:r>
      <w:r w:rsidRPr="00D543A3">
        <w:rPr>
          <w:lang w:val="hr-HR"/>
        </w:rPr>
        <w:t xml:space="preserve">chính sách khác của Đảng và Nhà nước. </w:t>
      </w:r>
    </w:p>
    <w:p w14:paraId="46187BD0" w14:textId="1CA34EC1" w:rsidR="00402F39" w:rsidRPr="00D543A3" w:rsidRDefault="00402F39" w:rsidP="00C62FF6">
      <w:pPr>
        <w:ind w:firstLine="567"/>
        <w:jc w:val="both"/>
        <w:rPr>
          <w:lang w:val="hr-HR"/>
        </w:rPr>
      </w:pPr>
      <w:r w:rsidRPr="00D543A3">
        <w:rPr>
          <w:lang w:val="hr-HR"/>
        </w:rPr>
        <w:t>2.2. Lấy quyền và lợi ích hợp pháp của người được TGPL làm trung tâm, rà soát các đối tượng thuộc diện được TGPL bảo đảm đồng bộ với hệ thống pháp luật, phù hợp với điều kiện và nguồn lực hiện</w:t>
      </w:r>
      <w:r w:rsidR="005E72A2">
        <w:rPr>
          <w:lang w:val="hr-HR"/>
        </w:rPr>
        <w:t xml:space="preserve"> nay nhằm </w:t>
      </w:r>
      <w:r w:rsidRPr="00D543A3">
        <w:rPr>
          <w:lang w:val="hr-HR"/>
        </w:rPr>
        <w:t>tăng cường khả năng tiếp cận TGPL của người dân; mở rộng các điều kiện và phạm vi hoạt động của trợ giúp viên pháp lý và cộng tác viên thực hiện TGPL; tổ chức và hoạt động của các tổ chức TGPL phù hợp với mô hình chính quyền địa phương hai cấp.</w:t>
      </w:r>
    </w:p>
    <w:p w14:paraId="3452C077" w14:textId="77777777" w:rsidR="00402F39" w:rsidRPr="00D543A3" w:rsidRDefault="00402F39" w:rsidP="00C62FF6">
      <w:pPr>
        <w:ind w:firstLine="567"/>
        <w:jc w:val="both"/>
        <w:rPr>
          <w:lang w:val="hr-HR"/>
        </w:rPr>
      </w:pPr>
      <w:r w:rsidRPr="00D543A3">
        <w:rPr>
          <w:lang w:val="hr-HR"/>
        </w:rPr>
        <w:t>2.3. Bảo đảm tính tương thích với các điều ước quốc tế có liên quan mà Việt Nam là thành viên; tính thống nhất, đồng bộ với các luật, nghị quyết có liên quan, nhất là các luật, nghị quyết được Quốc hội ban hành trong thời gian vừa qua; tham khảo có chọn lọc kinh nghiệm nước ngoài, phù hợp với điều kiện thực tiễn Việt Nam để bảo đảm tính khả thi.</w:t>
      </w:r>
    </w:p>
    <w:p w14:paraId="5F7F155F" w14:textId="77777777" w:rsidR="00FA163E" w:rsidRDefault="00FA163E" w:rsidP="00C62FF6">
      <w:pPr>
        <w:ind w:firstLine="567"/>
        <w:jc w:val="both"/>
        <w:rPr>
          <w:rStyle w:val="title-h1"/>
          <w:rFonts w:ascii="Times New Roman" w:hAnsi="Times New Roman"/>
          <w:sz w:val="28"/>
          <w:szCs w:val="28"/>
          <w:lang w:val="es-MX"/>
        </w:rPr>
      </w:pPr>
    </w:p>
    <w:p w14:paraId="65AE7044" w14:textId="128DA852" w:rsidR="00402F39" w:rsidRPr="00D543A3" w:rsidRDefault="00402F39" w:rsidP="00C62FF6">
      <w:pPr>
        <w:ind w:firstLine="567"/>
        <w:jc w:val="both"/>
        <w:rPr>
          <w:b/>
          <w:lang w:val="hr-HR"/>
        </w:rPr>
      </w:pPr>
      <w:r w:rsidRPr="00D543A3">
        <w:rPr>
          <w:rStyle w:val="title-h1"/>
          <w:rFonts w:ascii="Times New Roman" w:hAnsi="Times New Roman"/>
          <w:sz w:val="28"/>
          <w:szCs w:val="28"/>
          <w:lang w:val="es-MX"/>
        </w:rPr>
        <w:t>III</w:t>
      </w:r>
      <w:r w:rsidRPr="00D543A3">
        <w:rPr>
          <w:rStyle w:val="title-h1"/>
          <w:rFonts w:ascii="Times New Roman" w:hAnsi="Times New Roman"/>
          <w:sz w:val="28"/>
          <w:szCs w:val="28"/>
          <w:lang w:val="hr-HR"/>
        </w:rPr>
        <w:t xml:space="preserve">. </w:t>
      </w:r>
      <w:r w:rsidRPr="00D543A3">
        <w:rPr>
          <w:b/>
          <w:lang w:val="hr-HR"/>
        </w:rPr>
        <w:t>QUÁ TRÌNH XÂY DỰNG DỰ ÁN LUẬT</w:t>
      </w:r>
    </w:p>
    <w:p w14:paraId="52390C27" w14:textId="77777777" w:rsidR="00166256" w:rsidRPr="00166256" w:rsidRDefault="00166256" w:rsidP="00C62FF6">
      <w:pPr>
        <w:ind w:firstLine="567"/>
        <w:jc w:val="both"/>
        <w:rPr>
          <w:lang w:val="es-MX"/>
        </w:rPr>
      </w:pPr>
      <w:r w:rsidRPr="00166256">
        <w:t xml:space="preserve">Theo quy định của Luật Ban hành văn bản quy phạm pháp luật năm 2025, </w:t>
      </w:r>
      <w:r w:rsidRPr="00166256">
        <w:rPr>
          <w:lang w:val="es-MX"/>
        </w:rPr>
        <w:t xml:space="preserve">Chính phủ đã chỉ đạo </w:t>
      </w:r>
      <w:r w:rsidRPr="00166256">
        <w:t xml:space="preserve">Bộ Tư pháp chủ trì, phối hợp với các cơ quan liên quan thực hiện các công việc sau: </w:t>
      </w:r>
    </w:p>
    <w:p w14:paraId="71940A68" w14:textId="5948E97E" w:rsidR="00166256" w:rsidRPr="00166256" w:rsidRDefault="00166256" w:rsidP="00C62FF6">
      <w:pPr>
        <w:ind w:firstLine="567"/>
        <w:jc w:val="both"/>
        <w:rPr>
          <w:kern w:val="28"/>
          <w:lang w:val="eu-ES"/>
        </w:rPr>
      </w:pPr>
      <w:r w:rsidRPr="00166256">
        <w:rPr>
          <w:kern w:val="28"/>
          <w:lang w:val="eu-ES"/>
        </w:rPr>
        <w:t xml:space="preserve">1. </w:t>
      </w:r>
      <w:r w:rsidR="005E72A2">
        <w:rPr>
          <w:kern w:val="28"/>
          <w:lang w:val="eu-ES"/>
        </w:rPr>
        <w:t>Tổ chức</w:t>
      </w:r>
      <w:r w:rsidRPr="00166256">
        <w:rPr>
          <w:kern w:val="28"/>
          <w:lang w:val="eu-ES"/>
        </w:rPr>
        <w:t xml:space="preserve"> tổng kết </w:t>
      </w:r>
      <w:r w:rsidRPr="00166256">
        <w:rPr>
          <w:spacing w:val="-2"/>
          <w:lang w:val="hr-HR"/>
        </w:rPr>
        <w:t>08 năm thi hành Luật TGPL năm 2017</w:t>
      </w:r>
      <w:r w:rsidRPr="00166256">
        <w:rPr>
          <w:rStyle w:val="FootnoteReference"/>
          <w:spacing w:val="-2"/>
          <w:szCs w:val="28"/>
          <w:lang w:val="hr-HR"/>
        </w:rPr>
        <w:footnoteReference w:id="4"/>
      </w:r>
      <w:r w:rsidRPr="00166256">
        <w:rPr>
          <w:kern w:val="28"/>
          <w:lang w:val="eu-ES"/>
        </w:rPr>
        <w:t xml:space="preserve">; khẩn trương triển khai xây dựng hồ sơ dự án Luật sau khi </w:t>
      </w:r>
      <w:r w:rsidR="00F95309">
        <w:rPr>
          <w:kern w:val="28"/>
          <w:lang w:val="eu-ES"/>
        </w:rPr>
        <w:t>đ</w:t>
      </w:r>
      <w:r w:rsidRPr="00166256">
        <w:rPr>
          <w:kern w:val="28"/>
          <w:lang w:val="eu-ES"/>
        </w:rPr>
        <w:t xml:space="preserve">ề nghị xây dựng Luật được thông qua; tổ chức </w:t>
      </w:r>
      <w:r w:rsidRPr="00166256">
        <w:rPr>
          <w:lang w:val="nl-NL"/>
        </w:rPr>
        <w:t>các hội thảo khoa học, tọa đàm, các cuộc họp chuyên sâu với sự tham gia của các chuyên gia trong nước, đại diện các cơ quan, tổ chức có liên quan</w:t>
      </w:r>
      <w:r w:rsidRPr="00166256">
        <w:rPr>
          <w:kern w:val="28"/>
          <w:lang w:val="eu-ES"/>
        </w:rPr>
        <w:t>; thành lập Tổ soạn thảo, Tổ giúp việc dự án Luật, tổ chức họp lấy ý kiến thành viên Tổ soạn thảo, Tổ giúp việc.</w:t>
      </w:r>
    </w:p>
    <w:p w14:paraId="57603A9B" w14:textId="58DD1DAF" w:rsidR="00166256" w:rsidRPr="00FA163E" w:rsidRDefault="00166256" w:rsidP="00C62FF6">
      <w:pPr>
        <w:ind w:firstLine="567"/>
        <w:jc w:val="both"/>
        <w:rPr>
          <w:spacing w:val="-10"/>
          <w:kern w:val="28"/>
          <w:lang w:val="eu-ES"/>
        </w:rPr>
      </w:pPr>
      <w:r w:rsidRPr="00166256">
        <w:rPr>
          <w:kern w:val="28"/>
          <w:lang w:val="eu-ES"/>
        </w:rPr>
        <w:t xml:space="preserve">2. </w:t>
      </w:r>
      <w:r w:rsidR="005E72A2">
        <w:rPr>
          <w:kern w:val="28"/>
          <w:lang w:val="eu-ES"/>
        </w:rPr>
        <w:t>Lấy</w:t>
      </w:r>
      <w:r w:rsidR="00F56CBB" w:rsidRPr="001F5378">
        <w:rPr>
          <w:szCs w:val="28"/>
          <w:lang w:val="hr-HR"/>
        </w:rPr>
        <w:t xml:space="preserve"> ý kiến </w:t>
      </w:r>
      <w:r w:rsidR="00F56CBB">
        <w:rPr>
          <w:kern w:val="28"/>
          <w:lang w:val="eu-ES"/>
        </w:rPr>
        <w:t>góp ý</w:t>
      </w:r>
      <w:r w:rsidR="00F56CBB" w:rsidRPr="001F5378">
        <w:rPr>
          <w:kern w:val="28"/>
          <w:lang w:val="eu-ES"/>
        </w:rPr>
        <w:t xml:space="preserve"> </w:t>
      </w:r>
      <w:r w:rsidR="00F56CBB" w:rsidRPr="001F5378">
        <w:rPr>
          <w:szCs w:val="28"/>
          <w:lang w:val="hr-HR"/>
        </w:rPr>
        <w:t>của các Bộ, ngành, địa phương và một số cơ quan, tổ chức khác có liên quan</w:t>
      </w:r>
      <w:r w:rsidR="00F56CBB" w:rsidRPr="001F5378">
        <w:rPr>
          <w:rStyle w:val="FootnoteReference"/>
          <w:szCs w:val="28"/>
          <w:lang w:val="hr-HR"/>
        </w:rPr>
        <w:footnoteReference w:id="5"/>
      </w:r>
      <w:r w:rsidR="00F56CBB" w:rsidRPr="001F5378">
        <w:rPr>
          <w:szCs w:val="28"/>
          <w:lang w:val="hr-HR"/>
        </w:rPr>
        <w:t>; đăng tải</w:t>
      </w:r>
      <w:r w:rsidR="00F56CBB" w:rsidRPr="001F5378">
        <w:rPr>
          <w:szCs w:val="28"/>
          <w:lang w:val="nl-NL"/>
        </w:rPr>
        <w:t xml:space="preserve"> hồ sơ</w:t>
      </w:r>
      <w:r w:rsidR="00F56CBB" w:rsidRPr="001F5378">
        <w:rPr>
          <w:szCs w:val="28"/>
          <w:lang w:val="hr-HR"/>
        </w:rPr>
        <w:t xml:space="preserve"> Dự án Luật trên Cổng thông tin điện tử </w:t>
      </w:r>
      <w:r w:rsidR="00F56CBB" w:rsidRPr="00FA163E">
        <w:rPr>
          <w:spacing w:val="-10"/>
          <w:szCs w:val="28"/>
          <w:lang w:val="hr-HR"/>
        </w:rPr>
        <w:t>Bộ Tư pháp</w:t>
      </w:r>
      <w:r w:rsidR="00F56CBB" w:rsidRPr="00FA163E">
        <w:rPr>
          <w:spacing w:val="-10"/>
          <w:szCs w:val="28"/>
          <w:lang w:val="nl-NL"/>
        </w:rPr>
        <w:t xml:space="preserve"> và Cổng Pháp luật quốc gia</w:t>
      </w:r>
      <w:r w:rsidR="00F56CBB" w:rsidRPr="00FA163E">
        <w:rPr>
          <w:spacing w:val="-10"/>
          <w:szCs w:val="28"/>
          <w:lang w:val="hr-HR"/>
        </w:rPr>
        <w:t xml:space="preserve"> để lấy ý kiến rộng rãi của các tổ chức, cá nhân</w:t>
      </w:r>
      <w:r w:rsidRPr="00FA163E">
        <w:rPr>
          <w:spacing w:val="-10"/>
          <w:lang w:val="hr-HR"/>
        </w:rPr>
        <w:t>.</w:t>
      </w:r>
      <w:r w:rsidRPr="00FA163E">
        <w:rPr>
          <w:spacing w:val="-10"/>
          <w:kern w:val="28"/>
          <w:lang w:val="eu-ES"/>
        </w:rPr>
        <w:t xml:space="preserve"> </w:t>
      </w:r>
    </w:p>
    <w:p w14:paraId="1C6EE8F8" w14:textId="7C6DD215" w:rsidR="005E72A2" w:rsidRPr="00FA163E" w:rsidRDefault="00166256" w:rsidP="00C62FF6">
      <w:pPr>
        <w:ind w:firstLine="567"/>
        <w:jc w:val="both"/>
        <w:rPr>
          <w:spacing w:val="-10"/>
          <w:kern w:val="28"/>
          <w:lang w:val="eu-ES"/>
        </w:rPr>
      </w:pPr>
      <w:r w:rsidRPr="00FA163E">
        <w:rPr>
          <w:spacing w:val="-10"/>
          <w:kern w:val="28"/>
          <w:lang w:val="eu-ES"/>
        </w:rPr>
        <w:t xml:space="preserve">3. </w:t>
      </w:r>
      <w:r w:rsidR="005E72A2" w:rsidRPr="00FA163E">
        <w:rPr>
          <w:spacing w:val="-10"/>
          <w:kern w:val="28"/>
          <w:lang w:val="eu-ES"/>
        </w:rPr>
        <w:t xml:space="preserve"> Hồ sơ dự án Luật đã được tổ chức thẩm định theo đúng quy định của pháp luật.</w:t>
      </w:r>
    </w:p>
    <w:p w14:paraId="7B7AFE66" w14:textId="74B61A12" w:rsidR="00166256" w:rsidRPr="00166256" w:rsidRDefault="005E72A2" w:rsidP="00C62FF6">
      <w:pPr>
        <w:ind w:firstLine="567"/>
        <w:jc w:val="both"/>
        <w:rPr>
          <w:spacing w:val="-2"/>
          <w:kern w:val="28"/>
          <w:lang w:val="eu-ES"/>
        </w:rPr>
      </w:pPr>
      <w:r>
        <w:rPr>
          <w:spacing w:val="-2"/>
          <w:kern w:val="28"/>
          <w:lang w:val="eu-ES"/>
        </w:rPr>
        <w:t>4</w:t>
      </w:r>
      <w:r w:rsidR="00166256" w:rsidRPr="00921C23">
        <w:rPr>
          <w:spacing w:val="-2"/>
          <w:kern w:val="28"/>
          <w:lang w:val="eu-ES"/>
        </w:rPr>
        <w:t>. Chính phủ đã</w:t>
      </w:r>
      <w:r w:rsidR="00D26621">
        <w:rPr>
          <w:spacing w:val="-2"/>
          <w:kern w:val="28"/>
          <w:lang w:val="eu-ES"/>
        </w:rPr>
        <w:t xml:space="preserve"> ban hành</w:t>
      </w:r>
      <w:r w:rsidR="00166256" w:rsidRPr="00921C23">
        <w:rPr>
          <w:spacing w:val="-2"/>
          <w:kern w:val="28"/>
          <w:lang w:val="eu-ES"/>
        </w:rPr>
        <w:t xml:space="preserve"> </w:t>
      </w:r>
      <w:r w:rsidR="00921C23" w:rsidRPr="00921C23">
        <w:rPr>
          <w:spacing w:val="-2"/>
          <w:kern w:val="28"/>
          <w:lang w:val="eu-ES"/>
        </w:rPr>
        <w:t xml:space="preserve">Nghị </w:t>
      </w:r>
      <w:r w:rsidR="00166256" w:rsidRPr="00921C23">
        <w:rPr>
          <w:spacing w:val="-2"/>
          <w:kern w:val="28"/>
          <w:lang w:val="eu-ES"/>
        </w:rPr>
        <w:t xml:space="preserve">quyết </w:t>
      </w:r>
      <w:r w:rsidR="00921C23" w:rsidRPr="00921C23">
        <w:rPr>
          <w:spacing w:val="-2"/>
          <w:kern w:val="28"/>
          <w:lang w:val="eu-ES"/>
        </w:rPr>
        <w:t xml:space="preserve">số </w:t>
      </w:r>
      <w:r w:rsidR="00461FF1">
        <w:rPr>
          <w:spacing w:val="-2"/>
          <w:kern w:val="28"/>
          <w:lang w:val="eu-ES"/>
        </w:rPr>
        <w:t>19/NQ-CP</w:t>
      </w:r>
      <w:r w:rsidR="00921C23" w:rsidRPr="00921C23">
        <w:rPr>
          <w:spacing w:val="-2"/>
          <w:kern w:val="28"/>
          <w:lang w:val="eu-ES"/>
        </w:rPr>
        <w:t xml:space="preserve"> ngày </w:t>
      </w:r>
      <w:r w:rsidR="00461FF1">
        <w:rPr>
          <w:spacing w:val="-2"/>
          <w:kern w:val="28"/>
          <w:lang w:val="eu-ES"/>
        </w:rPr>
        <w:t>29/</w:t>
      </w:r>
      <w:r w:rsidR="00921C23" w:rsidRPr="00921C23">
        <w:rPr>
          <w:spacing w:val="-2"/>
          <w:kern w:val="28"/>
          <w:lang w:val="eu-ES"/>
        </w:rPr>
        <w:t>01/2026</w:t>
      </w:r>
      <w:r w:rsidR="00166256" w:rsidRPr="00921C23">
        <w:rPr>
          <w:spacing w:val="-2"/>
          <w:kern w:val="28"/>
          <w:lang w:val="eu-ES"/>
        </w:rPr>
        <w:t xml:space="preserve"> </w:t>
      </w:r>
      <w:r w:rsidR="00D26621">
        <w:rPr>
          <w:spacing w:val="-2"/>
          <w:kern w:val="28"/>
          <w:lang w:val="eu-ES"/>
        </w:rPr>
        <w:t>về</w:t>
      </w:r>
      <w:r w:rsidR="00166256" w:rsidRPr="00921C23">
        <w:rPr>
          <w:spacing w:val="-2"/>
          <w:kern w:val="28"/>
          <w:lang w:val="eu-ES"/>
        </w:rPr>
        <w:t xml:space="preserve"> dự án Luật; giao Bộ trưởng Bộ Tư pháp thừa ủy quyền của Thủ tướng Chính phủ, thay mặt Chính phủ ký Tờ</w:t>
      </w:r>
      <w:r w:rsidR="00D26621">
        <w:rPr>
          <w:spacing w:val="-2"/>
          <w:kern w:val="28"/>
          <w:lang w:val="eu-ES"/>
        </w:rPr>
        <w:t xml:space="preserve"> trình</w:t>
      </w:r>
      <w:r w:rsidR="00166256" w:rsidRPr="00921C23">
        <w:rPr>
          <w:spacing w:val="-2"/>
          <w:kern w:val="28"/>
          <w:lang w:val="eu-ES"/>
        </w:rPr>
        <w:t xml:space="preserve"> Quốc hội xem xét, thông qua dự án Luật tại Kỳ họp thứ </w:t>
      </w:r>
      <w:r w:rsidR="004F318B" w:rsidRPr="00921C23">
        <w:rPr>
          <w:spacing w:val="-2"/>
          <w:kern w:val="28"/>
          <w:lang w:val="eu-ES"/>
        </w:rPr>
        <w:t>nhất</w:t>
      </w:r>
      <w:r w:rsidR="00166256" w:rsidRPr="00921C23">
        <w:rPr>
          <w:spacing w:val="-2"/>
          <w:kern w:val="28"/>
          <w:lang w:val="eu-ES"/>
        </w:rPr>
        <w:t>, Quốc hộ</w:t>
      </w:r>
      <w:r w:rsidR="00E136AC" w:rsidRPr="00921C23">
        <w:rPr>
          <w:spacing w:val="-2"/>
          <w:kern w:val="28"/>
          <w:lang w:val="eu-ES"/>
        </w:rPr>
        <w:t>i khóa XV</w:t>
      </w:r>
      <w:r w:rsidR="004F318B" w:rsidRPr="00921C23">
        <w:rPr>
          <w:spacing w:val="-2"/>
          <w:kern w:val="28"/>
          <w:lang w:val="eu-ES"/>
        </w:rPr>
        <w:t>I</w:t>
      </w:r>
      <w:r w:rsidR="00E136AC" w:rsidRPr="00921C23">
        <w:rPr>
          <w:spacing w:val="-2"/>
          <w:kern w:val="28"/>
          <w:lang w:val="eu-ES"/>
        </w:rPr>
        <w:t>.</w:t>
      </w:r>
      <w:r w:rsidR="00E00A78" w:rsidRPr="00E00A78">
        <w:rPr>
          <w:spacing w:val="-2"/>
          <w:kern w:val="28"/>
          <w:lang w:val="eu-ES"/>
        </w:rPr>
        <w:t xml:space="preserve"> </w:t>
      </w:r>
    </w:p>
    <w:p w14:paraId="06693F59" w14:textId="56896D7F" w:rsidR="005D4DBC" w:rsidRPr="00FA163E" w:rsidRDefault="00402F39" w:rsidP="00C62FF6">
      <w:pPr>
        <w:ind w:firstLine="567"/>
        <w:jc w:val="both"/>
        <w:rPr>
          <w:rFonts w:ascii="Times New Roman Bold" w:hAnsi="Times New Roman Bold"/>
          <w:b/>
          <w:lang w:val="hr-HR"/>
        </w:rPr>
      </w:pPr>
      <w:r w:rsidRPr="00FA163E">
        <w:rPr>
          <w:rFonts w:ascii="Times New Roman Bold" w:hAnsi="Times New Roman Bold"/>
          <w:b/>
          <w:lang w:val="hr-HR"/>
        </w:rPr>
        <w:t>IV</w:t>
      </w:r>
      <w:r w:rsidR="004F318B" w:rsidRPr="00FA163E">
        <w:rPr>
          <w:rFonts w:ascii="Times New Roman Bold" w:hAnsi="Times New Roman Bold"/>
          <w:b/>
          <w:lang w:val="hr-HR"/>
        </w:rPr>
        <w:t xml:space="preserve">. </w:t>
      </w:r>
      <w:r w:rsidRPr="00FA163E">
        <w:rPr>
          <w:rFonts w:ascii="Times New Roman Bold" w:hAnsi="Times New Roman Bold"/>
          <w:b/>
          <w:lang w:val="hr-HR"/>
        </w:rPr>
        <w:t xml:space="preserve">BỐ CỤC VÀ NỘI DUNG CƠ BẢN CỦA DỰ THẢO LUẬT </w:t>
      </w:r>
    </w:p>
    <w:p w14:paraId="1C3A8977" w14:textId="77777777" w:rsidR="005D4DBC" w:rsidRDefault="00402F39" w:rsidP="00C62FF6">
      <w:pPr>
        <w:ind w:firstLine="567"/>
        <w:jc w:val="both"/>
        <w:rPr>
          <w:b/>
          <w:lang w:val="hr-HR"/>
        </w:rPr>
      </w:pPr>
      <w:r w:rsidRPr="00D543A3">
        <w:rPr>
          <w:b/>
          <w:lang w:val="hr-HR"/>
        </w:rPr>
        <w:t>1. Phạm vi điều chỉnh, đối tượng áp dụng</w:t>
      </w:r>
    </w:p>
    <w:p w14:paraId="40B0F589" w14:textId="7046C8D7" w:rsidR="005D4DBC" w:rsidRDefault="00402F39" w:rsidP="00C62FF6">
      <w:pPr>
        <w:ind w:firstLine="567"/>
        <w:jc w:val="both"/>
        <w:rPr>
          <w:lang w:val="hr-HR"/>
        </w:rPr>
      </w:pPr>
      <w:r w:rsidRPr="00D543A3">
        <w:rPr>
          <w:lang w:val="hr-HR"/>
        </w:rPr>
        <w:t xml:space="preserve">Dự thảo Luật sửa đổi, bổ sung một số điều của Luật TGPL năm 2017 quy định những nội dung liên quan đến người được TGPL, người thực hiện TGPL, tổ chức thực hiện TGPL, trách nhiệm của Chính phủ, Bộ Tư pháp, </w:t>
      </w:r>
      <w:r w:rsidR="00F56CBB">
        <w:rPr>
          <w:rFonts w:eastAsia="Times New Roman"/>
          <w:szCs w:val="28"/>
          <w:lang w:val="nl-NL"/>
        </w:rPr>
        <w:t>Ủy ban nhân dân</w:t>
      </w:r>
      <w:r w:rsidRPr="00D543A3">
        <w:rPr>
          <w:lang w:val="hr-HR"/>
        </w:rPr>
        <w:t xml:space="preserve"> cấp tỉnh, </w:t>
      </w:r>
      <w:r w:rsidR="00F56CBB">
        <w:rPr>
          <w:rFonts w:eastAsia="Times New Roman"/>
          <w:szCs w:val="28"/>
          <w:lang w:val="nl-NL"/>
        </w:rPr>
        <w:t>Ủy ban nhân dân</w:t>
      </w:r>
      <w:r w:rsidRPr="00D543A3">
        <w:rPr>
          <w:lang w:val="hr-HR"/>
        </w:rPr>
        <w:t xml:space="preserve"> cấp xã, Mặt trận Tổ quốc Việt Nam và các cơ quan có liên quan trong công tác TGPL.</w:t>
      </w:r>
    </w:p>
    <w:p w14:paraId="0C88C401" w14:textId="77777777" w:rsidR="005D4DBC" w:rsidRDefault="00402F39" w:rsidP="00C62FF6">
      <w:pPr>
        <w:ind w:firstLine="567"/>
        <w:jc w:val="both"/>
        <w:rPr>
          <w:lang w:val="hr-HR"/>
        </w:rPr>
      </w:pPr>
      <w:r w:rsidRPr="00D543A3">
        <w:rPr>
          <w:lang w:val="hr-HR"/>
        </w:rPr>
        <w:t>Đối tượng áp dụng là các cơ quan, tổ chức và cá nhân có liên quan.</w:t>
      </w:r>
    </w:p>
    <w:p w14:paraId="7625E4B9" w14:textId="77777777" w:rsidR="005D4DBC" w:rsidRDefault="00402F39" w:rsidP="00C62FF6">
      <w:pPr>
        <w:ind w:firstLine="567"/>
        <w:jc w:val="both"/>
        <w:rPr>
          <w:b/>
          <w:lang w:val="hr-HR"/>
        </w:rPr>
      </w:pPr>
      <w:r w:rsidRPr="00D543A3">
        <w:rPr>
          <w:b/>
          <w:lang w:val="hr-HR"/>
        </w:rPr>
        <w:t>2. Bố cục của Dự thảo Luật</w:t>
      </w:r>
    </w:p>
    <w:p w14:paraId="4BA5B357" w14:textId="77777777" w:rsidR="005D4DBC" w:rsidRPr="00E90473" w:rsidRDefault="00402F39" w:rsidP="00C62FF6">
      <w:pPr>
        <w:ind w:firstLine="567"/>
        <w:jc w:val="both"/>
        <w:rPr>
          <w:lang w:val="hr-HR"/>
        </w:rPr>
      </w:pPr>
      <w:r w:rsidRPr="00E90473">
        <w:rPr>
          <w:lang w:val="hr-HR"/>
        </w:rPr>
        <w:t>Dự thảo Luật gồm 03 Điều:</w:t>
      </w:r>
    </w:p>
    <w:p w14:paraId="185B6738" w14:textId="07AB40CF" w:rsidR="005D4DBC" w:rsidRPr="00E90473" w:rsidRDefault="00402F39" w:rsidP="00C62FF6">
      <w:pPr>
        <w:ind w:firstLine="567"/>
        <w:jc w:val="both"/>
        <w:rPr>
          <w:lang w:val="hr-HR"/>
        </w:rPr>
      </w:pPr>
      <w:r w:rsidRPr="00E90473">
        <w:rPr>
          <w:lang w:val="hr-HR"/>
        </w:rPr>
        <w:t>Điều 1. Sửa đổi, bổ sung một số điều của Luật TGPL năm 2017 (sửa đổi, bổ sung 2</w:t>
      </w:r>
      <w:r w:rsidR="009A3173" w:rsidRPr="00E90473">
        <w:rPr>
          <w:lang w:val="hr-HR"/>
        </w:rPr>
        <w:t>2</w:t>
      </w:r>
      <w:r w:rsidRPr="00E90473">
        <w:rPr>
          <w:lang w:val="hr-HR"/>
        </w:rPr>
        <w:t xml:space="preserve"> điều, bãi bỏ 03 điều).</w:t>
      </w:r>
    </w:p>
    <w:p w14:paraId="19F970A5" w14:textId="77777777" w:rsidR="0031008B" w:rsidRDefault="00402F39" w:rsidP="00C62FF6">
      <w:pPr>
        <w:ind w:firstLine="567"/>
        <w:jc w:val="both"/>
        <w:rPr>
          <w:lang w:val="hr-HR"/>
        </w:rPr>
      </w:pPr>
      <w:r w:rsidRPr="00D543A3">
        <w:rPr>
          <w:lang w:val="hr-HR"/>
        </w:rPr>
        <w:t>Điều 2. Điều khoản chuyển tiếp.</w:t>
      </w:r>
    </w:p>
    <w:p w14:paraId="0DF005B5" w14:textId="77777777" w:rsidR="009A3173" w:rsidRDefault="00402F39" w:rsidP="00C62FF6">
      <w:pPr>
        <w:ind w:firstLine="567"/>
        <w:jc w:val="both"/>
        <w:rPr>
          <w:lang w:val="hr-HR"/>
        </w:rPr>
      </w:pPr>
      <w:r w:rsidRPr="00D543A3">
        <w:rPr>
          <w:lang w:val="hr-HR"/>
        </w:rPr>
        <w:lastRenderedPageBreak/>
        <w:t>Điều 3. Điều khoản thi hành.</w:t>
      </w:r>
    </w:p>
    <w:p w14:paraId="2029635A" w14:textId="5C499543" w:rsidR="005D4DBC" w:rsidRDefault="00402F39" w:rsidP="00C62FF6">
      <w:pPr>
        <w:ind w:firstLine="567"/>
        <w:jc w:val="both"/>
        <w:rPr>
          <w:b/>
          <w:lang w:val="it-IT"/>
        </w:rPr>
      </w:pPr>
      <w:r w:rsidRPr="00D543A3">
        <w:rPr>
          <w:b/>
          <w:lang w:val="it-IT"/>
        </w:rPr>
        <w:t xml:space="preserve">3. </w:t>
      </w:r>
      <w:r w:rsidRPr="00D543A3">
        <w:rPr>
          <w:b/>
          <w:lang w:val="hr-HR"/>
        </w:rPr>
        <w:t>Nội dung cơ bản</w:t>
      </w:r>
      <w:r w:rsidRPr="00D543A3">
        <w:rPr>
          <w:b/>
          <w:lang w:val="it-IT"/>
        </w:rPr>
        <w:t xml:space="preserve"> của Dự thảo Luật</w:t>
      </w:r>
    </w:p>
    <w:p w14:paraId="3BD23FD7" w14:textId="77777777" w:rsidR="005D4DBC" w:rsidRDefault="00402F39" w:rsidP="00C62FF6">
      <w:pPr>
        <w:ind w:firstLine="567"/>
        <w:jc w:val="both"/>
        <w:rPr>
          <w:b/>
          <w:lang w:val="it-IT"/>
        </w:rPr>
      </w:pPr>
      <w:r w:rsidRPr="00D543A3">
        <w:rPr>
          <w:b/>
          <w:lang w:val="it-IT"/>
        </w:rPr>
        <w:t>3.1. Nội dung sửa đổi, hoàn thiện</w:t>
      </w:r>
    </w:p>
    <w:p w14:paraId="6491A5C0" w14:textId="77777777" w:rsidR="005D4DBC" w:rsidRDefault="00402F39" w:rsidP="00C62FF6">
      <w:pPr>
        <w:ind w:firstLine="567"/>
        <w:jc w:val="both"/>
        <w:rPr>
          <w:bCs/>
          <w:lang w:val="it-IT"/>
        </w:rPr>
      </w:pPr>
      <w:r w:rsidRPr="00D543A3">
        <w:rPr>
          <w:bCs/>
          <w:lang w:val="it-IT"/>
        </w:rPr>
        <w:t>(i) Về diện người được TGPL (khoản 1 Điều 1 Dự thảo Luật)</w:t>
      </w:r>
    </w:p>
    <w:p w14:paraId="6FA7A6D5" w14:textId="77777777" w:rsidR="005D4DBC" w:rsidRDefault="00402F39" w:rsidP="00C62FF6">
      <w:pPr>
        <w:ind w:firstLine="567"/>
        <w:jc w:val="both"/>
        <w:rPr>
          <w:bCs/>
        </w:rPr>
      </w:pPr>
      <w:r w:rsidRPr="00D543A3">
        <w:rPr>
          <w:bCs/>
        </w:rPr>
        <w:t>Dự thảo Luật sửa đổi một số diện người được TGPL nhằm bảo đảm tối đa quyền được tiếp cận pháp luật, TGPL cho các đối tượng đặc thù, phù hợp với thông lệ quốc tế, các điều ước quốc tế mà Việt Nam là thành viên, cụ thể như sau:</w:t>
      </w:r>
    </w:p>
    <w:p w14:paraId="3BA76EFA" w14:textId="3F51D561" w:rsidR="005D4DBC" w:rsidRDefault="00402F39" w:rsidP="00C62FF6">
      <w:pPr>
        <w:ind w:firstLine="567"/>
        <w:jc w:val="both"/>
        <w:rPr>
          <w:rFonts w:eastAsia="Times New Roman"/>
          <w:shd w:val="clear" w:color="auto" w:fill="FFFFFF"/>
          <w:lang w:val="nl-NL"/>
        </w:rPr>
      </w:pPr>
      <w:r w:rsidRPr="00D543A3">
        <w:rPr>
          <w:bCs/>
        </w:rPr>
        <w:t xml:space="preserve">- Bỏ điều kiện </w:t>
      </w:r>
      <w:r w:rsidRPr="00D543A3">
        <w:rPr>
          <w:bCs/>
          <w:i/>
        </w:rPr>
        <w:t>“có khó khăn về tài chính”</w:t>
      </w:r>
      <w:r w:rsidRPr="00D543A3">
        <w:rPr>
          <w:bCs/>
        </w:rPr>
        <w:t xml:space="preserve"> đối với các nhóm đối tượng: </w:t>
      </w:r>
      <w:r w:rsidR="00683AF6">
        <w:rPr>
          <w:bCs/>
          <w:i/>
          <w:lang w:val="en-US"/>
        </w:rPr>
        <w:t>c</w:t>
      </w:r>
      <w:r w:rsidRPr="00D543A3">
        <w:rPr>
          <w:bCs/>
          <w:i/>
        </w:rPr>
        <w:t xml:space="preserve">ha đẻ, mẹ đẻ, vợ, chồng, con của liệt sĩ và người có công nuôi dưỡng khi liệt sĩ còn nhỏ; </w:t>
      </w:r>
      <w:r w:rsidR="00683AF6">
        <w:rPr>
          <w:bCs/>
          <w:i/>
          <w:lang w:val="en-US"/>
        </w:rPr>
        <w:t>n</w:t>
      </w:r>
      <w:r w:rsidRPr="00D543A3">
        <w:rPr>
          <w:bCs/>
          <w:i/>
        </w:rPr>
        <w:t xml:space="preserve">gười bị nhiễm chất độc da cam; </w:t>
      </w:r>
      <w:r w:rsidR="00683AF6">
        <w:rPr>
          <w:bCs/>
          <w:i/>
          <w:lang w:val="en-US"/>
        </w:rPr>
        <w:t>n</w:t>
      </w:r>
      <w:r w:rsidRPr="00D543A3">
        <w:rPr>
          <w:bCs/>
          <w:i/>
        </w:rPr>
        <w:t xml:space="preserve">gười khuyết tật </w:t>
      </w:r>
      <w:r w:rsidRPr="00D543A3">
        <w:rPr>
          <w:bCs/>
        </w:rPr>
        <w:t>vì các lý do sau: Đây là nhóm đối tượng đặc thù về nhân thân hoặc bị ảnh hưởng về thể chất, tinh thần (nhóm người bị nhiễm chất độc da cam và người khuyết tật). Thực tiễn thời gian qua cho thấy, số lượng những người này không nhiều</w:t>
      </w:r>
      <w:r w:rsidRPr="00D543A3">
        <w:rPr>
          <w:rStyle w:val="FootnoteReference"/>
          <w:bCs/>
          <w:szCs w:val="28"/>
        </w:rPr>
        <w:footnoteReference w:id="6"/>
      </w:r>
      <w:r w:rsidRPr="00D543A3">
        <w:rPr>
          <w:bCs/>
        </w:rPr>
        <w:t>; số lượng thân nhân người có công và người nhiễm chất độc da cam cũng đang giảm dần theo thời gian. Việc quy định những nhóm này được TGPL mà không yêu cầu điều kiện “có khó khăn về tài chính” là phù hợp với điều kiện phát triển kinh tế - xã hội hiện nay của đất nước, phù hợp với quy định của pháp luật hiện hành</w:t>
      </w:r>
      <w:r w:rsidRPr="00D543A3">
        <w:rPr>
          <w:rStyle w:val="FootnoteReference"/>
          <w:bCs/>
          <w:szCs w:val="28"/>
        </w:rPr>
        <w:footnoteReference w:id="7"/>
      </w:r>
      <w:r w:rsidRPr="00D543A3">
        <w:rPr>
          <w:bCs/>
        </w:rPr>
        <w:t>, điều ước quốc tế mà Việt Nam là thành viên</w:t>
      </w:r>
      <w:r w:rsidRPr="00D543A3">
        <w:rPr>
          <w:rStyle w:val="FootnoteReference"/>
          <w:bCs/>
          <w:szCs w:val="28"/>
        </w:rPr>
        <w:footnoteReference w:id="8"/>
      </w:r>
      <w:r w:rsidRPr="00D543A3">
        <w:rPr>
          <w:bCs/>
        </w:rPr>
        <w:t xml:space="preserve"> và các chính sách tri ân người có công, thân nhân người có công của Đảng, Nhà nước, cũng như chủ trương “</w:t>
      </w:r>
      <w:r w:rsidRPr="00D543A3">
        <w:rPr>
          <w:rFonts w:eastAsia="Times New Roman"/>
          <w:shd w:val="clear" w:color="auto" w:fill="FFFFFF"/>
          <w:lang w:val="nl-NL"/>
        </w:rPr>
        <w:t>mở rộng đối tượng được TGPL phù hợp với điều kiện của đất nước” tại</w:t>
      </w:r>
      <w:r w:rsidRPr="00D543A3">
        <w:rPr>
          <w:bCs/>
          <w:lang w:val="nl-NL"/>
        </w:rPr>
        <w:t xml:space="preserve"> </w:t>
      </w:r>
      <w:r w:rsidRPr="00D543A3">
        <w:rPr>
          <w:rFonts w:eastAsia="Times New Roman"/>
          <w:shd w:val="clear" w:color="auto" w:fill="FFFFFF"/>
          <w:lang w:val="nl-NL"/>
        </w:rPr>
        <w:t>Nghị quyết số 27-NQ/TW. Việc quy định TGPL cho người khuyết tật, không giới hạn ở điều kiện có khó khăn về tài chính phù hợp kết luận của đồng chí Tổng Bí thư tại buổi làm việc với Đảng uỷ Chính phủ và các ban, bộ, ngành Trung ương về tình hình thực hiện chủ trương, chính sách của Đảng, pháp luật của Nhà nước đối với người khuyết tật</w:t>
      </w:r>
      <w:r w:rsidRPr="00D543A3">
        <w:rPr>
          <w:rStyle w:val="FootnoteReference"/>
          <w:szCs w:val="28"/>
          <w:shd w:val="clear" w:color="auto" w:fill="FFFFFF"/>
          <w:lang w:val="nl-NL"/>
        </w:rPr>
        <w:footnoteReference w:id="9"/>
      </w:r>
      <w:r w:rsidRPr="00D543A3">
        <w:rPr>
          <w:rFonts w:eastAsia="Times New Roman"/>
          <w:shd w:val="clear" w:color="auto" w:fill="FFFFFF"/>
          <w:lang w:val="nl-NL"/>
        </w:rPr>
        <w:t xml:space="preserve">. Mở rộng TGPL cho tất cả người thuộc hộ cận nghèo, người hưởng trợ cấp xã hội hàng tháng </w:t>
      </w:r>
      <w:r w:rsidR="00F421F4">
        <w:rPr>
          <w:rFonts w:eastAsia="Times New Roman"/>
          <w:shd w:val="clear" w:color="auto" w:fill="FFFFFF"/>
          <w:lang w:val="nl-NL"/>
        </w:rPr>
        <w:t xml:space="preserve">là </w:t>
      </w:r>
      <w:r w:rsidRPr="00D543A3">
        <w:rPr>
          <w:rFonts w:eastAsia="Times New Roman"/>
          <w:shd w:val="clear" w:color="auto" w:fill="FFFFFF"/>
          <w:lang w:val="nl-NL"/>
        </w:rPr>
        <w:t xml:space="preserve"> người nhiễm HIV, người cao tuổi, </w:t>
      </w:r>
      <w:r w:rsidR="00F421F4">
        <w:rPr>
          <w:rFonts w:eastAsia="Times New Roman"/>
          <w:shd w:val="clear" w:color="auto" w:fill="FFFFFF"/>
          <w:lang w:val="nl-NL"/>
        </w:rPr>
        <w:t xml:space="preserve">người bị bạo lực gia đình </w:t>
      </w:r>
      <w:r w:rsidRPr="00D543A3">
        <w:rPr>
          <w:rFonts w:eastAsia="Times New Roman"/>
          <w:shd w:val="clear" w:color="auto" w:fill="FFFFFF"/>
          <w:lang w:val="nl-NL"/>
        </w:rPr>
        <w:t>trong vụ việc bạo lực gia đình.</w:t>
      </w:r>
    </w:p>
    <w:p w14:paraId="640D7C3D" w14:textId="77777777" w:rsidR="005D4DBC" w:rsidRPr="00470D3A" w:rsidRDefault="00402F39" w:rsidP="00C62FF6">
      <w:pPr>
        <w:ind w:firstLine="567"/>
        <w:jc w:val="both"/>
        <w:rPr>
          <w:bCs/>
          <w:spacing w:val="-8"/>
          <w:lang w:val="nl-NL"/>
        </w:rPr>
      </w:pPr>
      <w:r w:rsidRPr="00D543A3">
        <w:rPr>
          <w:bCs/>
          <w:lang w:val="nl-NL"/>
        </w:rPr>
        <w:lastRenderedPageBreak/>
        <w:t xml:space="preserve"> </w:t>
      </w:r>
      <w:r w:rsidRPr="00470D3A">
        <w:rPr>
          <w:bCs/>
          <w:spacing w:val="-8"/>
          <w:lang w:val="nl-NL"/>
        </w:rPr>
        <w:t>(ii) Về người thực hiện TGPL (khoản 4, khoản 5 và khoản 6 Điều 1 Dự thảo Luật).</w:t>
      </w:r>
    </w:p>
    <w:p w14:paraId="63D61F31" w14:textId="44D4B17D" w:rsidR="005D4DBC" w:rsidRPr="00E90473" w:rsidRDefault="00402F39" w:rsidP="00C62FF6">
      <w:pPr>
        <w:ind w:firstLine="567"/>
        <w:jc w:val="both"/>
        <w:rPr>
          <w:bCs/>
          <w:iCs/>
          <w:lang w:val="nl-NL"/>
        </w:rPr>
      </w:pPr>
      <w:r w:rsidRPr="00E90473">
        <w:rPr>
          <w:bCs/>
          <w:lang w:val="nl-NL"/>
        </w:rPr>
        <w:t xml:space="preserve">- </w:t>
      </w:r>
      <w:r w:rsidR="00431B41" w:rsidRPr="00E90473">
        <w:rPr>
          <w:bCs/>
          <w:lang w:val="nl-NL"/>
        </w:rPr>
        <w:t xml:space="preserve">Về </w:t>
      </w:r>
      <w:r w:rsidR="00830A59" w:rsidRPr="00E90473">
        <w:rPr>
          <w:bCs/>
          <w:lang w:val="nl-NL"/>
        </w:rPr>
        <w:t xml:space="preserve">người có thể trở thành </w:t>
      </w:r>
      <w:r w:rsidR="00431B41" w:rsidRPr="00E90473">
        <w:rPr>
          <w:bCs/>
          <w:lang w:val="nl-NL"/>
        </w:rPr>
        <w:t xml:space="preserve">cộng tác viên trợ giúp pháp lý: mở rộng thêm nhóm viên chức nhà nước </w:t>
      </w:r>
      <w:r w:rsidR="00830A59" w:rsidRPr="00E90473">
        <w:rPr>
          <w:bCs/>
          <w:lang w:val="nl-NL"/>
        </w:rPr>
        <w:t xml:space="preserve">có bằng cử nhân luật, có kinh nghiệm làm công tác pháp luật từ </w:t>
      </w:r>
      <w:r w:rsidR="00683AF6" w:rsidRPr="00E90473">
        <w:rPr>
          <w:bCs/>
          <w:lang w:val="nl-NL"/>
        </w:rPr>
        <w:t>0</w:t>
      </w:r>
      <w:r w:rsidR="00830A59" w:rsidRPr="00E90473">
        <w:rPr>
          <w:bCs/>
          <w:lang w:val="nl-NL"/>
        </w:rPr>
        <w:t xml:space="preserve">5 năm trở lên và được sự đồng ý bằng văn bản của cơ quan nơi làm việc </w:t>
      </w:r>
      <w:r w:rsidR="00431B41" w:rsidRPr="00E90473">
        <w:rPr>
          <w:bCs/>
          <w:lang w:val="nl-NL"/>
        </w:rPr>
        <w:t>để thu hút nguồn l</w:t>
      </w:r>
      <w:r w:rsidR="00830A59" w:rsidRPr="00E90473">
        <w:rPr>
          <w:bCs/>
          <w:lang w:val="nl-NL"/>
        </w:rPr>
        <w:t>ực</w:t>
      </w:r>
      <w:r w:rsidR="00431B41" w:rsidRPr="00E90473">
        <w:rPr>
          <w:bCs/>
          <w:lang w:val="nl-NL"/>
        </w:rPr>
        <w:t xml:space="preserve"> có trình độ, có kinh nghiệm làm công tác pháp luật tham gia </w:t>
      </w:r>
      <w:r w:rsidR="00830A59" w:rsidRPr="00E90473">
        <w:rPr>
          <w:bCs/>
          <w:lang w:val="nl-NL"/>
        </w:rPr>
        <w:t>TGPL</w:t>
      </w:r>
      <w:r w:rsidR="00431B41" w:rsidRPr="00E90473">
        <w:rPr>
          <w:bCs/>
          <w:lang w:val="nl-NL"/>
        </w:rPr>
        <w:t xml:space="preserve"> theo tinh thần Nghị quyết 66-NQ/TW của Bộ Chính trị</w:t>
      </w:r>
      <w:r w:rsidR="00830A59" w:rsidRPr="00E90473">
        <w:rPr>
          <w:bCs/>
          <w:iCs/>
          <w:lang w:val="nl-NL"/>
        </w:rPr>
        <w:t xml:space="preserve">. Đồng thời, </w:t>
      </w:r>
      <w:r w:rsidR="00C62FF6" w:rsidRPr="00E90473">
        <w:rPr>
          <w:bCs/>
          <w:iCs/>
          <w:lang w:val="nl-NL"/>
        </w:rPr>
        <w:t>Dự thảo Luật</w:t>
      </w:r>
      <w:r w:rsidRPr="00E90473">
        <w:rPr>
          <w:bCs/>
          <w:iCs/>
          <w:lang w:val="nl-NL"/>
        </w:rPr>
        <w:t xml:space="preserve"> không giới hạn địa bàn sử dụng cộng tác viên</w:t>
      </w:r>
      <w:r w:rsidRPr="00E90473">
        <w:rPr>
          <w:bCs/>
          <w:iCs/>
        </w:rPr>
        <w:t>.</w:t>
      </w:r>
      <w:r w:rsidRPr="00E90473">
        <w:rPr>
          <w:bCs/>
          <w:iCs/>
          <w:lang w:val="nl-NL"/>
        </w:rPr>
        <w:t xml:space="preserve"> Việc sửa đổi này giúp mở rộng nhóm người có thể trở thành cộng tác viên TGPL, nâng cao chất lượng hoạt động và khắc phục bất cập hiện nay </w:t>
      </w:r>
      <w:r w:rsidR="00992FC5" w:rsidRPr="00E90473">
        <w:rPr>
          <w:bCs/>
          <w:iCs/>
          <w:lang w:val="nl-NL"/>
        </w:rPr>
        <w:t>là có rất ít cộng tác viên TGPL</w:t>
      </w:r>
      <w:r w:rsidRPr="00E90473">
        <w:rPr>
          <w:rStyle w:val="FootnoteReference"/>
          <w:bCs/>
          <w:iCs/>
          <w:szCs w:val="28"/>
        </w:rPr>
        <w:footnoteReference w:id="10"/>
      </w:r>
      <w:r w:rsidR="00992FC5" w:rsidRPr="00E90473">
        <w:rPr>
          <w:bCs/>
          <w:iCs/>
          <w:lang w:val="nl-NL"/>
        </w:rPr>
        <w:t>.</w:t>
      </w:r>
    </w:p>
    <w:p w14:paraId="698EB448" w14:textId="353FA4DF" w:rsidR="000A6C4E" w:rsidRDefault="00F57822" w:rsidP="000A6C4E">
      <w:pPr>
        <w:ind w:firstLine="567"/>
        <w:jc w:val="both"/>
        <w:rPr>
          <w:bCs/>
          <w:spacing w:val="-2"/>
          <w:lang w:val="nl-NL"/>
        </w:rPr>
      </w:pPr>
      <w:r>
        <w:rPr>
          <w:bCs/>
          <w:lang w:val="nl-NL"/>
        </w:rPr>
        <w:t xml:space="preserve">- </w:t>
      </w:r>
      <w:r w:rsidR="000A6C4E">
        <w:rPr>
          <w:bCs/>
          <w:lang w:val="nl-NL"/>
        </w:rPr>
        <w:t>Bên cạnh đó, sửa đổi quy định về cấp t</w:t>
      </w:r>
      <w:r w:rsidR="000A6C4E" w:rsidRPr="00D543A3">
        <w:rPr>
          <w:bCs/>
          <w:spacing w:val="-2"/>
        </w:rPr>
        <w:t>hẻ trợ giúp viên pháp lý</w:t>
      </w:r>
      <w:r w:rsidR="000A6C4E" w:rsidRPr="00D543A3">
        <w:rPr>
          <w:bCs/>
          <w:spacing w:val="-2"/>
          <w:lang w:val="nl-NL"/>
        </w:rPr>
        <w:t xml:space="preserve"> </w:t>
      </w:r>
      <w:r w:rsidR="000A6C4E">
        <w:rPr>
          <w:bCs/>
          <w:spacing w:val="-2"/>
          <w:lang w:val="nl-NL"/>
        </w:rPr>
        <w:t xml:space="preserve">theo hướng thẻ </w:t>
      </w:r>
      <w:r w:rsidR="000A6C4E" w:rsidRPr="00D543A3">
        <w:rPr>
          <w:bCs/>
          <w:spacing w:val="-2"/>
          <w:lang w:val="nl-NL"/>
        </w:rPr>
        <w:t>được cấp lại</w:t>
      </w:r>
      <w:r w:rsidR="000A6C4E" w:rsidRPr="00D543A3">
        <w:rPr>
          <w:bCs/>
          <w:spacing w:val="-2"/>
        </w:rPr>
        <w:t xml:space="preserve"> </w:t>
      </w:r>
      <w:r w:rsidR="000A6C4E" w:rsidRPr="00D543A3">
        <w:rPr>
          <w:bCs/>
          <w:lang w:val="nl-NL"/>
        </w:rPr>
        <w:t xml:space="preserve">trong trường hợp bị mất, bị hư hỏng hoặc bị thu hồi do trợ giúp viên pháp lý chuyển công tác đến Trung tâm TGPL thuộc </w:t>
      </w:r>
      <w:r w:rsidR="000A6C4E" w:rsidRPr="00D543A3">
        <w:rPr>
          <w:bCs/>
          <w:spacing w:val="-2"/>
        </w:rPr>
        <w:t>địa phương khác</w:t>
      </w:r>
      <w:r>
        <w:rPr>
          <w:bCs/>
          <w:spacing w:val="-2"/>
          <w:lang w:val="en-US"/>
        </w:rPr>
        <w:t>,</w:t>
      </w:r>
      <w:r w:rsidR="000A6C4E" w:rsidRPr="00D543A3">
        <w:rPr>
          <w:bCs/>
          <w:spacing w:val="-2"/>
          <w:lang w:val="nl-NL"/>
        </w:rPr>
        <w:t xml:space="preserve"> vì</w:t>
      </w:r>
      <w:r w:rsidR="000A6C4E" w:rsidRPr="00D543A3">
        <w:rPr>
          <w:bCs/>
          <w:spacing w:val="-2"/>
        </w:rPr>
        <w:t xml:space="preserve"> </w:t>
      </w:r>
      <w:r w:rsidR="000A6C4E" w:rsidRPr="00D543A3">
        <w:rPr>
          <w:bCs/>
          <w:spacing w:val="-2"/>
          <w:lang w:val="nl-NL"/>
        </w:rPr>
        <w:t xml:space="preserve">thẻ trợ giúp viên pháp lý do Chủ tịch Ủy ban nhân dân cấp tỉnh cấp và quản lý trong phạm vi địa phương, khi trợ giúp viên pháp lý chuyển công tác sang địa phương khác và vẫn làm trợ giúp viên pháp lý thì cần thu hồi </w:t>
      </w:r>
      <w:r w:rsidR="000A6C4E" w:rsidRPr="00D543A3">
        <w:rPr>
          <w:bCs/>
          <w:spacing w:val="-2"/>
        </w:rPr>
        <w:t>thẻ ở nơi đã công tác và cấp thẻ ở nơi công tác mới</w:t>
      </w:r>
      <w:r w:rsidR="000A6C4E" w:rsidRPr="00D543A3">
        <w:rPr>
          <w:bCs/>
          <w:spacing w:val="-2"/>
          <w:lang w:val="nl-NL"/>
        </w:rPr>
        <w:t>.</w:t>
      </w:r>
    </w:p>
    <w:p w14:paraId="4201FB16" w14:textId="22A71A81" w:rsidR="005D4DBC" w:rsidRDefault="000A6C4E" w:rsidP="000A6C4E">
      <w:pPr>
        <w:ind w:firstLine="567"/>
        <w:jc w:val="both"/>
        <w:rPr>
          <w:bCs/>
        </w:rPr>
      </w:pPr>
      <w:r w:rsidRPr="00D543A3">
        <w:rPr>
          <w:i/>
        </w:rPr>
        <w:t xml:space="preserve"> </w:t>
      </w:r>
      <w:r w:rsidR="00402F39" w:rsidRPr="00D543A3">
        <w:rPr>
          <w:i/>
        </w:rPr>
        <w:t xml:space="preserve">(iii) Về tổ chức thực hiện TGPL </w:t>
      </w:r>
      <w:r w:rsidR="00402F39" w:rsidRPr="00D543A3">
        <w:rPr>
          <w:iCs/>
        </w:rPr>
        <w:t xml:space="preserve">(khoản 2 Điều 1 </w:t>
      </w:r>
      <w:r w:rsidR="00402F39" w:rsidRPr="00D543A3">
        <w:rPr>
          <w:bCs/>
        </w:rPr>
        <w:t>Dự thảo Luật)</w:t>
      </w:r>
    </w:p>
    <w:p w14:paraId="753F01A8" w14:textId="380AB82E" w:rsidR="000D57A4" w:rsidRPr="00E90473" w:rsidRDefault="00402F39" w:rsidP="00C62FF6">
      <w:pPr>
        <w:ind w:firstLine="567"/>
        <w:jc w:val="both"/>
      </w:pPr>
      <w:r w:rsidRPr="00E90473">
        <w:t xml:space="preserve">Sửa đổi quy định thành lập Chi nhánh của Trung tâm TGPL nhà nước theo hướng không giới hạn việc chỉ được thành lập “tại các huyện ở vùng có điều kiện kinh tế - xã hội đặc biệt khó khăn, giao thông không thuận tiện đến Trung tâm TGPL nhà nước và chưa có tổ chức hành nghề luật sư hoặc tổ chức tư vấn pháp luật tham gia TGPL”. Việc sửa đổi này phù hợp với chủ trương phân quyền cho địa phương, phù hợp với mô hình tổ chức chính quyền địa phương hai cấp (không còn cấp huyện), nhiều địa phương hợp nhất tỉnh, hợp nhất xã nên có quy mô rộng và điều kiện kinh tế - xã hội khác </w:t>
      </w:r>
      <w:r w:rsidR="000A6C4E">
        <w:rPr>
          <w:lang w:val="en-US"/>
        </w:rPr>
        <w:t xml:space="preserve">với </w:t>
      </w:r>
      <w:r w:rsidRPr="00E90473">
        <w:t xml:space="preserve">trước đây. Do vậy, cần tạo điều kiện để Chủ tịch </w:t>
      </w:r>
      <w:r w:rsidR="00F56CBB" w:rsidRPr="00E90473">
        <w:rPr>
          <w:rFonts w:eastAsia="Times New Roman"/>
          <w:szCs w:val="28"/>
          <w:lang w:val="nl-NL"/>
        </w:rPr>
        <w:t>Ủy ban nhân dân</w:t>
      </w:r>
      <w:r w:rsidRPr="00E90473">
        <w:t xml:space="preserve"> cấp tỉnh chủ động quyết định địa bàn đặt Chi nhánh phù hợp với nhu cầu và điều kiện thực tế tại địa phương, qua đó góp phần nâng cao trách nhiệm </w:t>
      </w:r>
      <w:r w:rsidR="00470D3A" w:rsidRPr="00E90473">
        <w:rPr>
          <w:lang w:val="en-US"/>
        </w:rPr>
        <w:t>c</w:t>
      </w:r>
      <w:r w:rsidRPr="00E90473">
        <w:t>ủa địa phương.</w:t>
      </w:r>
    </w:p>
    <w:p w14:paraId="7CE5249A" w14:textId="0DFB1AC7" w:rsidR="005D4DBC" w:rsidRDefault="00402F39" w:rsidP="00C62FF6">
      <w:pPr>
        <w:ind w:firstLine="567"/>
        <w:jc w:val="both"/>
      </w:pPr>
      <w:r w:rsidRPr="00D543A3">
        <w:rPr>
          <w:i/>
          <w:iCs/>
        </w:rPr>
        <w:t xml:space="preserve">(iv) Về từ chối thụ lý yêu cầu TGPL </w:t>
      </w:r>
      <w:r w:rsidRPr="00D543A3">
        <w:t>(khoản 8 Điều 1)</w:t>
      </w:r>
    </w:p>
    <w:p w14:paraId="6C2A2D13" w14:textId="5CE07F98" w:rsidR="005D4DBC" w:rsidRDefault="00402F39" w:rsidP="00C62FF6">
      <w:pPr>
        <w:ind w:firstLine="567"/>
        <w:jc w:val="both"/>
      </w:pPr>
      <w:r w:rsidRPr="00D543A3">
        <w:t xml:space="preserve">Sửa đổi quy định từ chối thụ lý yêu cầu TGPL trong trường hợp </w:t>
      </w:r>
      <w:r w:rsidRPr="00D543A3">
        <w:rPr>
          <w:i/>
        </w:rPr>
        <w:t>“Yêu cầu TGPL đã được giải quyết và không phát sinh tình tiết mới”</w:t>
      </w:r>
      <w:r w:rsidRPr="00D543A3">
        <w:t xml:space="preserve"> (điểm b khoản 8 Điều 1)</w:t>
      </w:r>
      <w:r w:rsidR="00FE381C">
        <w:rPr>
          <w:lang w:val="en-US"/>
        </w:rPr>
        <w:t>,</w:t>
      </w:r>
      <w:r w:rsidRPr="00D543A3">
        <w:t xml:space="preserve"> </w:t>
      </w:r>
      <w:r w:rsidR="000A6C4E">
        <w:rPr>
          <w:lang w:val="en-US"/>
        </w:rPr>
        <w:t>vì</w:t>
      </w:r>
      <w:r w:rsidRPr="00D543A3">
        <w:t xml:space="preserve"> trong thực tế nhiều trường hợp người </w:t>
      </w:r>
      <w:r w:rsidR="009A3173">
        <w:rPr>
          <w:lang w:val="en-US"/>
        </w:rPr>
        <w:t>thuộc diện</w:t>
      </w:r>
      <w:r w:rsidRPr="00D543A3">
        <w:t xml:space="preserve"> TGPL đã được TGPL, các cơ quan có liên quan đã giải quyết vụ việc theo đúng quy định của pháp luật</w:t>
      </w:r>
      <w:r w:rsidR="00FE381C">
        <w:rPr>
          <w:lang w:val="en-US"/>
        </w:rPr>
        <w:t>,</w:t>
      </w:r>
      <w:r w:rsidRPr="00D543A3">
        <w:t xml:space="preserve"> nhưng kết quả không như mong muốn của người được TGPL nên họ vẫn yêu cầu TGPL lại nhiều lần.</w:t>
      </w:r>
    </w:p>
    <w:p w14:paraId="41D4A9EF" w14:textId="77777777" w:rsidR="005D4DBC" w:rsidRDefault="00402F39" w:rsidP="00C62FF6">
      <w:pPr>
        <w:ind w:firstLine="567"/>
        <w:jc w:val="both"/>
        <w:rPr>
          <w:i/>
        </w:rPr>
      </w:pPr>
      <w:r w:rsidRPr="00D543A3">
        <w:rPr>
          <w:i/>
        </w:rPr>
        <w:lastRenderedPageBreak/>
        <w:t>(v) Một số nội dung sửa đổi khác</w:t>
      </w:r>
    </w:p>
    <w:p w14:paraId="6F9648D4" w14:textId="5BCB4798" w:rsidR="005D4DBC" w:rsidRDefault="00402F39" w:rsidP="00C62FF6">
      <w:pPr>
        <w:ind w:firstLine="567"/>
        <w:jc w:val="both"/>
      </w:pPr>
      <w:r w:rsidRPr="00D543A3">
        <w:t>Sửa đổi điểm c khoản 1 Điều 26 thành: “vụ việc được chuyển theo quy định tại khoản 3 Điều 35”; sửa tên Điều 30 thành “</w:t>
      </w:r>
      <w:r w:rsidRPr="00D543A3">
        <w:rPr>
          <w:i/>
        </w:rPr>
        <w:t>Yêu cầu</w:t>
      </w:r>
      <w:r w:rsidRPr="00D543A3">
        <w:t xml:space="preserve">, thụ lý vụ việc TGPL” và sửa tên Điều 35 thành “Chuyển yêu cầu, </w:t>
      </w:r>
      <w:r w:rsidRPr="00D543A3">
        <w:rPr>
          <w:i/>
        </w:rPr>
        <w:t>vụ việc</w:t>
      </w:r>
      <w:r w:rsidRPr="00D543A3">
        <w:t xml:space="preserve"> TGPL” để phù hợp với nội dung của Điều này. </w:t>
      </w:r>
    </w:p>
    <w:p w14:paraId="5FA265B2" w14:textId="77777777" w:rsidR="0031008B" w:rsidRDefault="00402F39" w:rsidP="00C62FF6">
      <w:pPr>
        <w:ind w:firstLine="567"/>
        <w:jc w:val="both"/>
        <w:rPr>
          <w:b/>
        </w:rPr>
      </w:pPr>
      <w:r w:rsidRPr="00D543A3">
        <w:rPr>
          <w:b/>
        </w:rPr>
        <w:t>3.2. Nội dung bổ sung</w:t>
      </w:r>
    </w:p>
    <w:p w14:paraId="4E6A0B29" w14:textId="66B59858" w:rsidR="005D4DBC" w:rsidRDefault="00402F39" w:rsidP="00C62FF6">
      <w:pPr>
        <w:ind w:firstLine="567"/>
        <w:jc w:val="both"/>
        <w:rPr>
          <w:bCs/>
          <w:i/>
        </w:rPr>
      </w:pPr>
      <w:r w:rsidRPr="00D543A3">
        <w:rPr>
          <w:bCs/>
          <w:i/>
        </w:rPr>
        <w:t>(i) Về diện người được TGPL (khoản 1 Điều 1 Dự thảo Luật)</w:t>
      </w:r>
    </w:p>
    <w:p w14:paraId="5FA67F8A" w14:textId="1AAD6635" w:rsidR="005D4DBC" w:rsidRDefault="00402F39" w:rsidP="00C62FF6">
      <w:pPr>
        <w:ind w:firstLine="567"/>
        <w:jc w:val="both"/>
        <w:rPr>
          <w:bCs/>
        </w:rPr>
      </w:pPr>
      <w:r w:rsidRPr="00D543A3">
        <w:rPr>
          <w:bCs/>
        </w:rPr>
        <w:t>- Bổ sung người dân tộc thiểu số thuộc dân tộc rất ít người nhằm thực hiện toàn diện chính sách dân tộc của Đảng và Nhà nước</w:t>
      </w:r>
      <w:r w:rsidR="00470D3A">
        <w:rPr>
          <w:bCs/>
          <w:lang w:val="en-US"/>
        </w:rPr>
        <w:t>;</w:t>
      </w:r>
      <w:r w:rsidRPr="00D543A3">
        <w:rPr>
          <w:bCs/>
        </w:rPr>
        <w:t xml:space="preserve"> </w:t>
      </w:r>
    </w:p>
    <w:p w14:paraId="57277AD6" w14:textId="77777777" w:rsidR="005D4DBC" w:rsidRPr="00470D3A" w:rsidRDefault="00402F39" w:rsidP="00C62FF6">
      <w:pPr>
        <w:ind w:firstLine="567"/>
        <w:jc w:val="both"/>
        <w:rPr>
          <w:bCs/>
          <w:spacing w:val="-4"/>
        </w:rPr>
      </w:pPr>
      <w:r w:rsidRPr="00470D3A">
        <w:rPr>
          <w:bCs/>
          <w:spacing w:val="-4"/>
        </w:rPr>
        <w:t>- Bổ sung người có khó khăn về tài chính do gặp thiên tai, dịch bệnh, hỏa hoạn, mất mùa, sự kiện bất khả kháng, tình trạng khẩn cấp theo quy định của pháp luật;</w:t>
      </w:r>
    </w:p>
    <w:p w14:paraId="7322EBEE" w14:textId="79654981" w:rsidR="005D4DBC" w:rsidRDefault="00402F39" w:rsidP="00C62FF6">
      <w:pPr>
        <w:ind w:firstLine="567"/>
        <w:jc w:val="both"/>
        <w:rPr>
          <w:bCs/>
        </w:rPr>
      </w:pPr>
      <w:r w:rsidRPr="00D543A3">
        <w:rPr>
          <w:bCs/>
        </w:rPr>
        <w:t xml:space="preserve">- Bổ sung </w:t>
      </w:r>
      <w:r w:rsidR="001F2056">
        <w:rPr>
          <w:bCs/>
          <w:lang w:val="en-US"/>
        </w:rPr>
        <w:t xml:space="preserve">cá nhân </w:t>
      </w:r>
      <w:r w:rsidRPr="00D543A3">
        <w:rPr>
          <w:bCs/>
        </w:rPr>
        <w:t>bị thiệt hại theo quy định của Luật Trách nhiệm bồi thường của Nhà nước;</w:t>
      </w:r>
    </w:p>
    <w:p w14:paraId="34204961" w14:textId="57A42BD8" w:rsidR="005D4DBC" w:rsidRDefault="00402F39" w:rsidP="00C62FF6">
      <w:pPr>
        <w:ind w:firstLine="567"/>
        <w:jc w:val="both"/>
        <w:rPr>
          <w:bCs/>
        </w:rPr>
      </w:pPr>
      <w:r w:rsidRPr="00D543A3">
        <w:rPr>
          <w:bCs/>
        </w:rPr>
        <w:t>- Bổ sung “Người nước ngoài theo điều ước quốc tế mà nước Cộng hòa xã hội chủ nghĩa Việt Nam là thành viên” nhằm nội luật hóa cam kết về bảo đảm quyền được TGPL trong các điều ước quốc tế mà Việt Nam là thành viên theo đúng quy định của Luật Điều ước quốc tế</w:t>
      </w:r>
      <w:r w:rsidRPr="00D543A3">
        <w:rPr>
          <w:rStyle w:val="FootnoteReference"/>
          <w:bCs/>
          <w:szCs w:val="28"/>
        </w:rPr>
        <w:footnoteReference w:id="11"/>
      </w:r>
      <w:r w:rsidRPr="00D543A3">
        <w:rPr>
          <w:bCs/>
        </w:rPr>
        <w:t>. Theo quy định của Luật Quốc tịch Việt Nam, Luật Nhập cảnh, xuất cảnh, quá cảnh, cư trú của người nước ngoài tại Việt Nam thì người nước ngoài là công dân nước ngoài và người không quốc tịch thường trú hoặc tạm trú ở Việt Nam. Như vậy, quy định này thống nhất với điểm đ khoản 1 Điều 37 Luật Phòng, chống mua bán người có quy định về quyền đượ</w:t>
      </w:r>
      <w:r w:rsidR="00470D3A">
        <w:rPr>
          <w:bCs/>
        </w:rPr>
        <w:t xml:space="preserve">c </w:t>
      </w:r>
      <w:r w:rsidR="00470D3A">
        <w:rPr>
          <w:bCs/>
          <w:lang w:val="en-US"/>
        </w:rPr>
        <w:t>T</w:t>
      </w:r>
      <w:r w:rsidRPr="00D543A3">
        <w:rPr>
          <w:bCs/>
        </w:rPr>
        <w:t>GPL của người không quốc tịch thường trú tại Việt Nam.</w:t>
      </w:r>
    </w:p>
    <w:p w14:paraId="4F0AA11D" w14:textId="77777777" w:rsidR="005D4DBC" w:rsidRDefault="00402F39" w:rsidP="00C62FF6">
      <w:pPr>
        <w:ind w:firstLine="567"/>
        <w:jc w:val="both"/>
        <w:rPr>
          <w:rFonts w:eastAsia="Times New Roman"/>
          <w:bCs/>
          <w:i/>
        </w:rPr>
      </w:pPr>
      <w:r w:rsidRPr="00D543A3">
        <w:rPr>
          <w:bCs/>
          <w:i/>
        </w:rPr>
        <w:t>(ii)</w:t>
      </w:r>
      <w:r w:rsidRPr="00D543A3">
        <w:rPr>
          <w:rFonts w:eastAsia="Times New Roman"/>
          <w:bCs/>
          <w:i/>
        </w:rPr>
        <w:t xml:space="preserve"> Về người thực hiện TGPL (khoản 4, khoản 5 và khoản 6 Điều 1)</w:t>
      </w:r>
    </w:p>
    <w:p w14:paraId="35D4D31C" w14:textId="77777777" w:rsidR="005D4DBC" w:rsidRDefault="00402F39" w:rsidP="00C62FF6">
      <w:pPr>
        <w:ind w:firstLine="567"/>
        <w:jc w:val="both"/>
        <w:rPr>
          <w:bCs/>
        </w:rPr>
      </w:pPr>
      <w:r w:rsidRPr="00D543A3">
        <w:rPr>
          <w:bCs/>
        </w:rPr>
        <w:t>- Với trợ giúp viên pháp lý: Bổ sung các trường hợp không được bổ nhiệm, cấp thẻ trợ giúp viên pháp lý tương đồng với quy định của Luật Luật sư, bảo đảm chặt chẽ về điều kiện bổ nhiệm, góp phần khẳng định vị thế của trợ giúp viên pháp lý, bao gồm các trường hợp: đang bị áp dụng biện pháp xử lý hành chính đưa vào cơ sở cai nghiện bắt buộc, cơ sở giáo dục bắt buộc; đang bị truy cứu trách nhiệm hình sự; đã bị kết án mà chưa được xóa án tích về tội phạm do vô ý hoặc tội phạm ít nghiêm trọng do cố ý; đã bị kết án về tội phạm nghiêm trọng do cố ý, tội phạm rất nghiêm trọng do cố ý, tội phạm đặc biệt nghiêm trọng do cố ý kể cả trường hợp đã được xóa án tích. Bổ sung trường hợp trợ giúp viên pháp lý bị miễn nhiệm khi bị kết án và bản án đã có hiệu lực pháp luật.</w:t>
      </w:r>
    </w:p>
    <w:p w14:paraId="471873E3" w14:textId="77777777" w:rsidR="005D4DBC" w:rsidRDefault="00402F39" w:rsidP="00C62FF6">
      <w:pPr>
        <w:ind w:firstLine="567"/>
        <w:jc w:val="both"/>
        <w:rPr>
          <w:bCs/>
        </w:rPr>
      </w:pPr>
      <w:r w:rsidRPr="00D543A3">
        <w:rPr>
          <w:bCs/>
        </w:rPr>
        <w:lastRenderedPageBreak/>
        <w:t xml:space="preserve">- Với cộng tác viên TGPL: </w:t>
      </w:r>
    </w:p>
    <w:p w14:paraId="3F23ED91" w14:textId="5375CFA5" w:rsidR="005D4DBC" w:rsidRDefault="00402F39" w:rsidP="00C62FF6">
      <w:pPr>
        <w:ind w:firstLine="567"/>
        <w:jc w:val="both"/>
        <w:rPr>
          <w:bCs/>
        </w:rPr>
      </w:pPr>
      <w:r w:rsidRPr="00D543A3">
        <w:rPr>
          <w:bCs/>
        </w:rPr>
        <w:t>+ Bổ sung một số trường hợp bị thu hồi thẻ cộng tác viên TGPL</w:t>
      </w:r>
      <w:r w:rsidR="008048E5">
        <w:rPr>
          <w:bCs/>
          <w:lang w:val="en-US"/>
        </w:rPr>
        <w:t xml:space="preserve"> như</w:t>
      </w:r>
      <w:r w:rsidRPr="00D543A3">
        <w:rPr>
          <w:bCs/>
        </w:rPr>
        <w:t xml:space="preserve">: không còn đủ tiêu chuẩn cộng tác viên TGPL; thực hiện hành vi bị nghiêm cấm quy định tại </w:t>
      </w:r>
      <w:r w:rsidR="009A3173">
        <w:rPr>
          <w:bCs/>
          <w:lang w:val="en-US"/>
        </w:rPr>
        <w:t>điểm a, b, đ, e</w:t>
      </w:r>
      <w:r w:rsidR="009A3173" w:rsidRPr="00D543A3">
        <w:rPr>
          <w:bCs/>
        </w:rPr>
        <w:t xml:space="preserve"> </w:t>
      </w:r>
      <w:r w:rsidRPr="00D543A3">
        <w:rPr>
          <w:bCs/>
        </w:rPr>
        <w:t xml:space="preserve">khoản 1 Điều 6 của Luật TGPL hoặc đã bị xử phạt vi phạm hành chính trong hoạt động TGPL nhưng chưa đến mức bị thu hồi thẻ mà tiếp tục có hành vi vi phạm; hợp đồng thực hiện TGPL bị chấm dứt; </w:t>
      </w:r>
      <w:r w:rsidRPr="00D543A3">
        <w:rPr>
          <w:rFonts w:eastAsia="Times New Roman"/>
        </w:rPr>
        <w:t xml:space="preserve">bị xử lý kỷ luật bằng hình thức buộc thôi việc đối với cộng tác viên TGPL là viên chức; bị áp dụng biện pháp xử lý hành chính đưa vào cơ sở cai nghiện bắt buộc, cơ sở giáo dục bắt buộc; bị kết án và bản án đã có hiệu lực pháp luật. </w:t>
      </w:r>
      <w:r w:rsidRPr="00D543A3">
        <w:rPr>
          <w:bCs/>
        </w:rPr>
        <w:t>Đây là nội dung liên quan trực tiếp đến quyền, lợi ích của chủ thể thuộc đối tượng áp dụng của Luật nên cần quy định ở Luật (hiện nay một số trường hợp đang được quy định tại Nghị định số 144/2017/NĐ-CP).</w:t>
      </w:r>
    </w:p>
    <w:p w14:paraId="15E67D46" w14:textId="667937F6" w:rsidR="005D4DBC" w:rsidRPr="000733F0" w:rsidRDefault="00402F39" w:rsidP="00C62FF6">
      <w:pPr>
        <w:ind w:firstLine="567"/>
        <w:jc w:val="both"/>
        <w:rPr>
          <w:rFonts w:eastAsia="Times New Roman"/>
          <w:lang w:val="en-US"/>
        </w:rPr>
      </w:pPr>
      <w:r w:rsidRPr="00D543A3">
        <w:rPr>
          <w:bCs/>
        </w:rPr>
        <w:t xml:space="preserve">- </w:t>
      </w:r>
      <w:r w:rsidRPr="00D543A3">
        <w:rPr>
          <w:rFonts w:eastAsia="Times New Roman"/>
          <w:bCs/>
          <w:iCs/>
        </w:rPr>
        <w:t>Bổ sung quy định cộng tác viên TGPL được thực hiện vụ việc đại diện ngoài tố tụng theo quy định của pháp luật</w:t>
      </w:r>
      <w:r w:rsidRPr="00D543A3">
        <w:rPr>
          <w:rStyle w:val="FootnoteReference"/>
          <w:rFonts w:eastAsia="Times New Roman"/>
          <w:bCs/>
          <w:iCs/>
          <w:szCs w:val="28"/>
        </w:rPr>
        <w:footnoteReference w:id="12"/>
      </w:r>
      <w:r w:rsidR="000733F0">
        <w:rPr>
          <w:rFonts w:eastAsia="Times New Roman"/>
          <w:bCs/>
          <w:iCs/>
          <w:lang w:val="en-US"/>
        </w:rPr>
        <w:t>.</w:t>
      </w:r>
    </w:p>
    <w:p w14:paraId="06E331F6" w14:textId="6307FB28" w:rsidR="005D4DBC" w:rsidRDefault="00402F39" w:rsidP="00C62FF6">
      <w:pPr>
        <w:ind w:firstLine="567"/>
        <w:jc w:val="both"/>
        <w:rPr>
          <w:rFonts w:eastAsia="Times New Roman"/>
          <w:bCs/>
          <w:i/>
        </w:rPr>
      </w:pPr>
      <w:r w:rsidRPr="00D543A3">
        <w:rPr>
          <w:rFonts w:eastAsia="Times New Roman"/>
          <w:bCs/>
          <w:i/>
        </w:rPr>
        <w:t xml:space="preserve">(iii) Về phạm vi thực hiện TGPL (điểm a khoản 7 Điều 1 </w:t>
      </w:r>
      <w:r w:rsidR="00C62FF6">
        <w:rPr>
          <w:rFonts w:eastAsia="Times New Roman"/>
          <w:bCs/>
          <w:i/>
        </w:rPr>
        <w:t>Dự thảo Luật</w:t>
      </w:r>
      <w:r w:rsidRPr="00D543A3">
        <w:rPr>
          <w:rFonts w:eastAsia="Times New Roman"/>
          <w:bCs/>
          <w:i/>
        </w:rPr>
        <w:t>)</w:t>
      </w:r>
    </w:p>
    <w:p w14:paraId="30E3315F" w14:textId="0A2E0BFE" w:rsidR="005D4DBC" w:rsidRDefault="00402F39" w:rsidP="00C62FF6">
      <w:pPr>
        <w:ind w:firstLine="567"/>
        <w:jc w:val="both"/>
        <w:rPr>
          <w:rFonts w:eastAsia="Times New Roman"/>
          <w:bCs/>
        </w:rPr>
      </w:pPr>
      <w:r w:rsidRPr="00D543A3">
        <w:rPr>
          <w:rFonts w:eastAsia="Times New Roman"/>
          <w:bCs/>
        </w:rPr>
        <w:t xml:space="preserve">Bổ sung phạm vi thực hiện TGPL của Trung tâm TGPL đối với vụ việc do Trung tâm TGPL nhà nước tỉnh, thành phố khác chuyển đến khi cơ quan tiến hành tố tụng tại địa phương tiếp nhận, giải quyết. </w:t>
      </w:r>
    </w:p>
    <w:p w14:paraId="10B62ECC" w14:textId="08B3F69A" w:rsidR="005D4DBC" w:rsidRDefault="00402F39" w:rsidP="00C62FF6">
      <w:pPr>
        <w:ind w:firstLine="567"/>
        <w:jc w:val="both"/>
        <w:rPr>
          <w:rFonts w:eastAsia="Times New Roman"/>
          <w:i/>
        </w:rPr>
      </w:pPr>
      <w:r w:rsidRPr="00D543A3">
        <w:rPr>
          <w:rFonts w:eastAsia="Times New Roman"/>
          <w:i/>
        </w:rPr>
        <w:t>(iv) Về trách nhiệm quản lý nhà nước của Chính phủ,</w:t>
      </w:r>
      <w:r w:rsidRPr="00D543A3">
        <w:rPr>
          <w:rFonts w:eastAsia="Times New Roman"/>
          <w:bCs/>
          <w:i/>
        </w:rPr>
        <w:t xml:space="preserve"> Bộ Tư pháp, Bộ, ngành và </w:t>
      </w:r>
      <w:r w:rsidR="00F56CBB" w:rsidRPr="00F56CBB">
        <w:rPr>
          <w:rFonts w:eastAsia="Times New Roman"/>
          <w:i/>
          <w:szCs w:val="28"/>
          <w:lang w:val="nl-NL"/>
        </w:rPr>
        <w:t>Ủy ban nhân dân</w:t>
      </w:r>
      <w:r w:rsidRPr="00D543A3">
        <w:rPr>
          <w:rFonts w:eastAsia="Times New Roman"/>
          <w:bCs/>
          <w:i/>
        </w:rPr>
        <w:t xml:space="preserve"> cấp tỉnh</w:t>
      </w:r>
      <w:r w:rsidRPr="00D543A3">
        <w:rPr>
          <w:rFonts w:eastAsia="Times New Roman"/>
          <w:i/>
        </w:rPr>
        <w:t xml:space="preserve"> trong công tác TGPL</w:t>
      </w:r>
    </w:p>
    <w:p w14:paraId="260F0B93" w14:textId="7146E7DC" w:rsidR="005D4DBC" w:rsidRDefault="00402F39" w:rsidP="00C62FF6">
      <w:pPr>
        <w:ind w:firstLine="567"/>
        <w:jc w:val="both"/>
        <w:rPr>
          <w:rFonts w:eastAsia="Times New Roman"/>
          <w:bCs/>
        </w:rPr>
      </w:pPr>
      <w:r w:rsidRPr="00D543A3">
        <w:rPr>
          <w:rFonts w:eastAsia="Times New Roman"/>
          <w:bCs/>
        </w:rPr>
        <w:t xml:space="preserve">Bổ sung trách nhiệm của Chính phủ trong ứng dụng công nghệ thông tin, chuyển đổi số trong TGPL (điểm a khoản 12 Điều 1), cụ thể: “Chính phủ thống nhất quản lý nhà nước về TGPL; </w:t>
      </w:r>
      <w:r w:rsidRPr="00D543A3">
        <w:rPr>
          <w:rFonts w:eastAsia="Times New Roman"/>
          <w:bCs/>
          <w:i/>
        </w:rPr>
        <w:t>đẩy mạnh ứng dụng công nghệ thông tin, công nghệ số, chuyển đổi số trong TGPL</w:t>
      </w:r>
      <w:r w:rsidRPr="00D543A3">
        <w:rPr>
          <w:rFonts w:eastAsia="Times New Roman"/>
          <w:bCs/>
        </w:rPr>
        <w:t xml:space="preserve">”. Quy định này nhằm thể chế hóa kịp thời chủ trương của Đảng và Nhà nước về đẩy </w:t>
      </w:r>
      <w:r w:rsidR="008048E5">
        <w:rPr>
          <w:rFonts w:eastAsia="Times New Roman"/>
          <w:bCs/>
          <w:lang w:val="en-US"/>
        </w:rPr>
        <w:t xml:space="preserve">mạnh </w:t>
      </w:r>
      <w:r w:rsidRPr="00D543A3">
        <w:rPr>
          <w:rFonts w:eastAsia="Times New Roman"/>
          <w:bCs/>
        </w:rPr>
        <w:t>ứng dụng khoa học công nghệ, chuyển đổi số tại Nghị quyết số 57-NQ/TW, Nghị quyết số 66-NQ/TW của Bộ Chính trị, qua đó nâng cao khả năng tiếp cận của người dân và tối ưu hóa hiệu quả dịch vụ TGPL trong thời gian tới.</w:t>
      </w:r>
    </w:p>
    <w:p w14:paraId="335E2650" w14:textId="77777777" w:rsidR="005D4DBC" w:rsidRDefault="00402F39" w:rsidP="00C62FF6">
      <w:pPr>
        <w:ind w:firstLine="567"/>
        <w:jc w:val="both"/>
        <w:rPr>
          <w:rFonts w:eastAsia="Times New Roman"/>
          <w:bCs/>
        </w:rPr>
      </w:pPr>
      <w:r w:rsidRPr="00D543A3">
        <w:rPr>
          <w:rFonts w:eastAsia="Times New Roman"/>
          <w:bCs/>
        </w:rPr>
        <w:t xml:space="preserve">Đồng thời, bổ sung trách nhiệm của Bộ Tư pháp trong việc ứng dụng công nghệ thông tin, công nghệ số và triển khai chuyển đổi số trong hoạt động TGPL; xây dựng, quản lý, vận hành và thường xuyên nâng cấp Hệ thống thông tin và cơ sở dữ liệu TGPL; thực hiện kết nối, tích hợp, chia sẻ dữ liệu TGPL với Cổng Pháp luật quốc gia (điểm b khoản 16 Điều 1). Các Bộ, ngành và Ủy ban nhân dân cấp tỉnh có trách nhiệm phối hợp với Bộ Tư pháp trong việc “tạo lập, tích hợp, chia sẻ, khai thác và sử dụng dữ liệu thông qua kết nối, liên thông với cơ sở dữ liệu TGPL trên Cổng Pháp luật quốc gia” (điểm c, điểm d khoản 16 Điều 1). </w:t>
      </w:r>
    </w:p>
    <w:p w14:paraId="6F85E028" w14:textId="74319892" w:rsidR="005D4DBC" w:rsidRPr="005D4DBC" w:rsidRDefault="00402F39" w:rsidP="00C62FF6">
      <w:pPr>
        <w:ind w:firstLine="567"/>
        <w:jc w:val="both"/>
        <w:rPr>
          <w:rFonts w:eastAsia="Times New Roman"/>
          <w:bCs/>
          <w:spacing w:val="-2"/>
        </w:rPr>
      </w:pPr>
      <w:r w:rsidRPr="005D4DBC">
        <w:rPr>
          <w:rFonts w:eastAsia="Times New Roman"/>
          <w:bCs/>
          <w:spacing w:val="-2"/>
        </w:rPr>
        <w:lastRenderedPageBreak/>
        <w:t>Sự phát triển mạnh mẽ của cách mạng công nghệ 4.0 và xu thế xây dựng Chính phủ điện tử hướng tới Chính phủ số đã đặt ra yêu cầu xây dựng, vận hành Hệ thống thông tin và cơ sở dữ liệu TGPL nhằm thay thế hệ thống hiện có với nhiều tính năng mới, đáp ứng nhu cầu quản lý tổ chức và hoạt động TGPL trong điều kiện mới và kế thừa dữ liệu của phần mềm hiện có. Việc quy định đẩy mạnh ứng dụng công nghệ thông tin, công nghệ số, chuyển đổi số trong TGPL và xây dựng, quản lý, vận hành và thường xuyên nâng cấp Hệ thống thông tin và cơ sở dữ liệu TGPL; thực hiện kết nối, tích hợp, chia sẻ dữ liệu TGPL trên Cổng Pháp luật quốc gia sẽ giúp thu thập, quản lý, khai thác hiệu quả thông tin trong lĩnh vực TGPL, nhằm kịp thời phục vụ công tác chỉ đạo điều hành của cơ quan quản lý nhà nước; tiếp tục đơn giản hóa thủ tục hành chính, nâng cao chất lượng hoạt động TGPL.</w:t>
      </w:r>
    </w:p>
    <w:p w14:paraId="79E80B7D" w14:textId="77777777" w:rsidR="005D4DBC" w:rsidRDefault="00402F39" w:rsidP="00C62FF6">
      <w:pPr>
        <w:ind w:firstLine="567"/>
        <w:jc w:val="both"/>
        <w:rPr>
          <w:rFonts w:eastAsia="Times New Roman"/>
          <w:bCs/>
          <w:i/>
        </w:rPr>
      </w:pPr>
      <w:r w:rsidRPr="00D543A3">
        <w:rPr>
          <w:rFonts w:eastAsia="Times New Roman"/>
          <w:bCs/>
          <w:i/>
        </w:rPr>
        <w:t xml:space="preserve"> (v) Về trách nhiệm của Mặt trận Tổ quốc Việt Nam</w:t>
      </w:r>
    </w:p>
    <w:p w14:paraId="741607C5" w14:textId="77777777" w:rsidR="00CA587D" w:rsidRDefault="00402F39" w:rsidP="00C62FF6">
      <w:pPr>
        <w:ind w:firstLine="567"/>
        <w:jc w:val="both"/>
        <w:rPr>
          <w:bCs/>
        </w:rPr>
      </w:pPr>
      <w:r w:rsidRPr="00D543A3">
        <w:rPr>
          <w:bCs/>
        </w:rPr>
        <w:t>Bổ sung trách nhiệm của Mặt trận Tổ quốc Việt Nam, các tổ chức thành viên của Mặt trận trong phạm vi chức năng, nhiệm vụ của mình phối hợp với các cơ quan nhà nước, tổ chức có liên quan thực hiện TGPL theo quy định của pháp luật (khoản 18 Điều 1).</w:t>
      </w:r>
    </w:p>
    <w:p w14:paraId="5E570766" w14:textId="3F926E97" w:rsidR="00CA587D" w:rsidRDefault="00402F39" w:rsidP="00C62FF6">
      <w:pPr>
        <w:ind w:firstLine="567"/>
        <w:jc w:val="both"/>
        <w:rPr>
          <w:rFonts w:eastAsia="Times New Roman"/>
          <w:bCs/>
          <w:i/>
        </w:rPr>
      </w:pPr>
      <w:r w:rsidRPr="00D543A3">
        <w:rPr>
          <w:rFonts w:eastAsia="Times New Roman"/>
          <w:bCs/>
          <w:i/>
        </w:rPr>
        <w:t xml:space="preserve">(vi) Về trách nhiệm của </w:t>
      </w:r>
      <w:r w:rsidR="00F56CBB" w:rsidRPr="00F56CBB">
        <w:rPr>
          <w:rFonts w:eastAsia="Times New Roman"/>
          <w:i/>
          <w:szCs w:val="28"/>
          <w:lang w:val="nl-NL"/>
        </w:rPr>
        <w:t>Ủy ban nhân dân</w:t>
      </w:r>
      <w:r w:rsidRPr="00D543A3">
        <w:rPr>
          <w:rFonts w:eastAsia="Times New Roman"/>
          <w:bCs/>
          <w:i/>
        </w:rPr>
        <w:t xml:space="preserve"> cấp xã trong công tác TGPL</w:t>
      </w:r>
    </w:p>
    <w:p w14:paraId="03DD90AD" w14:textId="04BEE896" w:rsidR="00470D3A" w:rsidRDefault="00402F39" w:rsidP="00C62FF6">
      <w:pPr>
        <w:ind w:firstLine="567"/>
        <w:jc w:val="both"/>
        <w:rPr>
          <w:rFonts w:eastAsia="Times New Roman"/>
          <w:bCs/>
          <w:lang w:val="en-US"/>
        </w:rPr>
      </w:pPr>
      <w:r w:rsidRPr="00D543A3">
        <w:rPr>
          <w:rFonts w:eastAsia="Times New Roman"/>
          <w:bCs/>
        </w:rPr>
        <w:t xml:space="preserve">Bổ sung trách nhiệm của Ủy ban nhân dân cấp xã “phối hợp với tổ chức thực hiện TGPL trong việc triển khai thực hiện công tác </w:t>
      </w:r>
      <w:r w:rsidR="00803A78">
        <w:rPr>
          <w:rFonts w:eastAsia="Times New Roman"/>
          <w:bCs/>
          <w:lang w:val="en-US"/>
        </w:rPr>
        <w:t xml:space="preserve">trợ giúp pháp lý </w:t>
      </w:r>
      <w:r w:rsidRPr="00D543A3">
        <w:rPr>
          <w:rFonts w:eastAsia="Times New Roman"/>
          <w:bCs/>
        </w:rPr>
        <w:t xml:space="preserve"> trên địa bàn”, nhằm phát huy vai trò, trách nhiệm của cấp chính quyền cơ sở trong việ</w:t>
      </w:r>
      <w:r w:rsidR="00E90473">
        <w:rPr>
          <w:rFonts w:eastAsia="Times New Roman"/>
          <w:bCs/>
        </w:rPr>
        <w:t>c giúp người dân, nhất là nhóm yếu thế</w:t>
      </w:r>
      <w:r w:rsidRPr="00D543A3">
        <w:rPr>
          <w:rFonts w:eastAsia="Times New Roman"/>
          <w:bCs/>
        </w:rPr>
        <w:t xml:space="preserve"> kịp thời tiếp cận và sử dụng TGPL, bảo đảm </w:t>
      </w:r>
      <w:r w:rsidR="009A3173">
        <w:rPr>
          <w:rFonts w:eastAsia="Times New Roman"/>
          <w:bCs/>
          <w:lang w:val="en-US"/>
        </w:rPr>
        <w:t>q</w:t>
      </w:r>
      <w:r w:rsidRPr="00D543A3">
        <w:rPr>
          <w:rFonts w:eastAsia="Times New Roman"/>
          <w:bCs/>
        </w:rPr>
        <w:t>uyền và lợi ích hợp pháp của họ (điểm đ khoản 16 Điều 1).</w:t>
      </w:r>
      <w:r w:rsidR="00CA587D">
        <w:rPr>
          <w:rFonts w:eastAsia="Times New Roman"/>
          <w:bCs/>
          <w:lang w:val="en-US"/>
        </w:rPr>
        <w:t xml:space="preserve"> </w:t>
      </w:r>
    </w:p>
    <w:p w14:paraId="2A6BFAE8" w14:textId="66093DC2" w:rsidR="00470D3A" w:rsidRPr="00E90473" w:rsidRDefault="00CA587D" w:rsidP="00C62FF6">
      <w:pPr>
        <w:ind w:firstLine="567"/>
        <w:jc w:val="both"/>
        <w:rPr>
          <w:i/>
          <w:lang w:val="en-US"/>
        </w:rPr>
      </w:pPr>
      <w:r w:rsidRPr="00E90473">
        <w:rPr>
          <w:i/>
        </w:rPr>
        <w:t xml:space="preserve">(vii) Về điều khoản </w:t>
      </w:r>
      <w:r w:rsidRPr="00E90473">
        <w:rPr>
          <w:i/>
          <w:lang w:val="en-US"/>
        </w:rPr>
        <w:t>chuyển tiế</w:t>
      </w:r>
      <w:r w:rsidR="00E90473">
        <w:rPr>
          <w:i/>
          <w:lang w:val="en-US"/>
        </w:rPr>
        <w:t>p</w:t>
      </w:r>
    </w:p>
    <w:p w14:paraId="12FF5DBA" w14:textId="0B32D64E" w:rsidR="00470D3A" w:rsidRDefault="00402F39" w:rsidP="00C62FF6">
      <w:pPr>
        <w:ind w:firstLine="567"/>
        <w:jc w:val="both"/>
      </w:pPr>
      <w:r w:rsidRPr="00D543A3">
        <w:t xml:space="preserve">Dự thảo Luật quy định việc chuyển tiếp đối với trợ giúp viên </w:t>
      </w:r>
      <w:r w:rsidR="009A3173">
        <w:rPr>
          <w:lang w:val="en-US"/>
        </w:rPr>
        <w:t xml:space="preserve">pháp lý </w:t>
      </w:r>
      <w:r w:rsidRPr="00D543A3">
        <w:t>được bổ nhiệm, cấp thẻ theo Luật TGPL năm 2017.</w:t>
      </w:r>
    </w:p>
    <w:p w14:paraId="267CD242" w14:textId="77777777" w:rsidR="00470D3A" w:rsidRDefault="00402F39" w:rsidP="00C62FF6">
      <w:pPr>
        <w:ind w:firstLine="567"/>
        <w:jc w:val="both"/>
        <w:rPr>
          <w:b/>
        </w:rPr>
      </w:pPr>
      <w:r w:rsidRPr="00D543A3">
        <w:rPr>
          <w:b/>
        </w:rPr>
        <w:t>3.3. Nội dung lược bỏ</w:t>
      </w:r>
    </w:p>
    <w:p w14:paraId="5AF70B57" w14:textId="3B75332A" w:rsidR="00470D3A" w:rsidRPr="008274B0" w:rsidRDefault="00402F39" w:rsidP="00C62FF6">
      <w:pPr>
        <w:ind w:firstLine="567"/>
        <w:jc w:val="both"/>
        <w:rPr>
          <w:lang w:val="en-US"/>
        </w:rPr>
      </w:pPr>
      <w:r w:rsidRPr="008274B0">
        <w:t xml:space="preserve">- Bãi bỏ nhiệm vụ thẩm định, đánh giá chất lượng vụ việc TGPL của </w:t>
      </w:r>
      <w:r w:rsidR="00E739DA" w:rsidRPr="008274B0">
        <w:rPr>
          <w:lang w:val="en-US"/>
        </w:rPr>
        <w:t>Bộ Tư pháp</w:t>
      </w:r>
      <w:r w:rsidRPr="008274B0">
        <w:t xml:space="preserve"> tạ</w:t>
      </w:r>
      <w:r w:rsidR="00F926B9" w:rsidRPr="008274B0">
        <w:t>i</w:t>
      </w:r>
      <w:r w:rsidRPr="008274B0">
        <w:t xml:space="preserve"> </w:t>
      </w:r>
      <w:r w:rsidR="00E739DA" w:rsidRPr="008274B0">
        <w:rPr>
          <w:lang w:val="en-US"/>
        </w:rPr>
        <w:t>điểm e khoản 2</w:t>
      </w:r>
      <w:r w:rsidRPr="008274B0">
        <w:t xml:space="preserve"> Điều 40 Luật TGPL 2017</w:t>
      </w:r>
      <w:r w:rsidR="00F926B9" w:rsidRPr="008274B0">
        <w:rPr>
          <w:lang w:val="en-US"/>
        </w:rPr>
        <w:t xml:space="preserve"> và </w:t>
      </w:r>
      <w:r w:rsidR="00D66A04" w:rsidRPr="008274B0">
        <w:rPr>
          <w:lang w:val="en-US"/>
        </w:rPr>
        <w:t xml:space="preserve">bổ sung </w:t>
      </w:r>
      <w:r w:rsidR="00F926B9" w:rsidRPr="008274B0">
        <w:rPr>
          <w:lang w:val="en-US"/>
        </w:rPr>
        <w:t xml:space="preserve">quy định </w:t>
      </w:r>
      <w:r w:rsidR="00D66A04" w:rsidRPr="008274B0">
        <w:rPr>
          <w:lang w:val="en-US"/>
        </w:rPr>
        <w:t>về “</w:t>
      </w:r>
      <w:r w:rsidR="00D66A04" w:rsidRPr="008274B0">
        <w:rPr>
          <w:i/>
          <w:lang w:val="en-US"/>
        </w:rPr>
        <w:t>đánh giá chất lượng, hiệu quả vụ việc trợ giúp pháp lý</w:t>
      </w:r>
      <w:r w:rsidR="00D66A04" w:rsidRPr="008274B0">
        <w:rPr>
          <w:lang w:val="en-US"/>
        </w:rPr>
        <w:t>”</w:t>
      </w:r>
      <w:r w:rsidR="00F926B9" w:rsidRPr="008274B0">
        <w:rPr>
          <w:lang w:val="en-US"/>
        </w:rPr>
        <w:t xml:space="preserve"> tại điểm c khoản 2 Điều 40 Luật TGPL 2017</w:t>
      </w:r>
      <w:r w:rsidR="00D66A04" w:rsidRPr="008274B0">
        <w:rPr>
          <w:lang w:val="en-US"/>
        </w:rPr>
        <w:t xml:space="preserve"> để </w:t>
      </w:r>
      <w:r w:rsidR="00D93185">
        <w:rPr>
          <w:lang w:val="en-US"/>
        </w:rPr>
        <w:t xml:space="preserve">bảo đảm tính </w:t>
      </w:r>
      <w:r w:rsidR="00D66A04" w:rsidRPr="008274B0">
        <w:rPr>
          <w:lang w:val="en-US"/>
        </w:rPr>
        <w:t>thống nhất</w:t>
      </w:r>
      <w:r w:rsidR="00F926B9" w:rsidRPr="008274B0">
        <w:rPr>
          <w:lang w:val="en-US"/>
        </w:rPr>
        <w:t>.</w:t>
      </w:r>
    </w:p>
    <w:p w14:paraId="63DDE152" w14:textId="77777777" w:rsidR="00470D3A" w:rsidRDefault="00402F39" w:rsidP="00C62FF6">
      <w:pPr>
        <w:ind w:firstLine="567"/>
        <w:jc w:val="both"/>
      </w:pPr>
      <w:r w:rsidRPr="00D543A3">
        <w:t xml:space="preserve">- Bãi bỏ nhiệm vụ thanh tra trong hoạt động TGPL tại điểm g khoản 2 Điều 40 để phù hợp với chức năng, nhiệm vụ của Bộ Tư pháp. </w:t>
      </w:r>
    </w:p>
    <w:p w14:paraId="445CA0C6" w14:textId="77777777" w:rsidR="00470D3A" w:rsidRDefault="00402F39" w:rsidP="00C62FF6">
      <w:pPr>
        <w:ind w:firstLine="567"/>
        <w:jc w:val="both"/>
      </w:pPr>
      <w:r w:rsidRPr="00D543A3">
        <w:t xml:space="preserve">- Bãi bỏ Điều 23 (các trường hợp thu hồi thẻ trợ giúp viên pháp lý đã được đưa vào khoản 4 Điều 1, các quy định về trình tự, thủ tục được giao Chính phủ quy định chi tiết), Điều 28 (địa điểm tiếp người được TGPL là các hoạt động mang tính nghiệp vụ sẽ được Bộ Tư pháp hướng dẫn). </w:t>
      </w:r>
    </w:p>
    <w:p w14:paraId="1BB07B75" w14:textId="4A843AC8" w:rsidR="00470D3A" w:rsidRDefault="00402F39" w:rsidP="00C62FF6">
      <w:pPr>
        <w:ind w:firstLine="567"/>
        <w:jc w:val="both"/>
      </w:pPr>
      <w:r w:rsidRPr="00D543A3">
        <w:lastRenderedPageBreak/>
        <w:t xml:space="preserve">- Bãi bỏ khoản 2, 4 Điều 21, khoản 3, 4 Điều 22, khoản 2 Điều 30, khoản 2, 3 và 4 Điều 31, khoản 2 Điều 32, khoản 2 Điều 33, khoản 2 Điều 34, khoản 2 Điều 36, khoản 2 Điều 38, khoản 2 Điều 45 là các nội dung về trình tự, thủ tục, hồ sơ được sửa đổi </w:t>
      </w:r>
      <w:r w:rsidR="00D93185">
        <w:rPr>
          <w:lang w:val="en-US"/>
        </w:rPr>
        <w:t xml:space="preserve">theo hướng </w:t>
      </w:r>
      <w:r w:rsidRPr="00D543A3">
        <w:t>giao Chính phủ quy định chi tiết.</w:t>
      </w:r>
    </w:p>
    <w:p w14:paraId="662ED4D4" w14:textId="77777777" w:rsidR="00FA163E" w:rsidRDefault="00FA163E" w:rsidP="00C62FF6">
      <w:pPr>
        <w:ind w:firstLine="567"/>
        <w:jc w:val="both"/>
        <w:rPr>
          <w:b/>
        </w:rPr>
      </w:pPr>
    </w:p>
    <w:p w14:paraId="0F057E86" w14:textId="61CBE576" w:rsidR="00470D3A" w:rsidRDefault="00402F39" w:rsidP="00C62FF6">
      <w:pPr>
        <w:ind w:firstLine="567"/>
        <w:jc w:val="both"/>
        <w:rPr>
          <w:b/>
        </w:rPr>
      </w:pPr>
      <w:r w:rsidRPr="00D543A3">
        <w:rPr>
          <w:b/>
        </w:rPr>
        <w:t>3.4. Nội dung cắt giảm, đơn giản hoá thủ tục hành chính</w:t>
      </w:r>
    </w:p>
    <w:p w14:paraId="01A056B5" w14:textId="674AA91A" w:rsidR="00470D3A" w:rsidRDefault="00402F39" w:rsidP="00C62FF6">
      <w:pPr>
        <w:ind w:firstLine="567"/>
        <w:jc w:val="both"/>
        <w:rPr>
          <w:bCs/>
        </w:rPr>
      </w:pPr>
      <w:r w:rsidRPr="00D543A3">
        <w:rPr>
          <w:bCs/>
        </w:rPr>
        <w:t xml:space="preserve">Dự thảo Luật bãi bỏ quy định về hồ sơ, trình tự, thủ tục tại khoản 2, 4 Điều 21; khoản 3, 4 Điều 22; khoản 2, 3, 4, 5 Điều 23, Điều 29 và giao Chính phủ quy định chi tiết tại </w:t>
      </w:r>
      <w:r w:rsidRPr="00D543A3">
        <w:t xml:space="preserve">Điều 21, Điều 22, Điều 24, </w:t>
      </w:r>
      <w:r w:rsidRPr="00D543A3">
        <w:rPr>
          <w:bCs/>
        </w:rPr>
        <w:t xml:space="preserve">Bộ trưởng Bộ Tư pháp quy định chi tiết tại khoản 3 Điều 15, phù hợp với </w:t>
      </w:r>
      <w:r w:rsidRPr="00D543A3">
        <w:rPr>
          <w:iCs/>
          <w:lang w:val="es-MX"/>
        </w:rPr>
        <w:t>chỉ đạo “</w:t>
      </w:r>
      <w:r w:rsidRPr="00D543A3">
        <w:rPr>
          <w:i/>
          <w:shd w:val="clear" w:color="auto" w:fill="FFFFFF"/>
        </w:rPr>
        <w:t>cơ bản không quy định thủ tục hành chính, trình tự, hồ sơ trong luật mà giao Chính phủ, các bộ quy định theo thẩm quyền nhưng không được đặt thêm thủ tục hành chính, phát sinh thêm giấy phép con so với hiện hành</w:t>
      </w:r>
      <w:r w:rsidRPr="00D543A3">
        <w:rPr>
          <w:shd w:val="clear" w:color="auto" w:fill="FFFFFF"/>
        </w:rPr>
        <w:t>” tại</w:t>
      </w:r>
      <w:r w:rsidRPr="00D543A3">
        <w:rPr>
          <w:iCs/>
          <w:lang w:val="es-MX"/>
        </w:rPr>
        <w:t xml:space="preserve"> </w:t>
      </w:r>
      <w:r w:rsidRPr="00D543A3">
        <w:rPr>
          <w:lang w:val="nl-NL"/>
        </w:rPr>
        <w:t>Kết luận 119-KL/TW ngày 20/01/2025 của Bộ Chính trị về định hướng đổi mới, hoàn thiện quy trình xây dựng pháp luật</w:t>
      </w:r>
      <w:r w:rsidR="001C2D10">
        <w:rPr>
          <w:lang w:val="nl-NL"/>
        </w:rPr>
        <w:t xml:space="preserve"> và</w:t>
      </w:r>
      <w:r w:rsidRPr="00D543A3">
        <w:rPr>
          <w:lang w:val="nl-NL"/>
        </w:rPr>
        <w:t xml:space="preserve"> Nghị quyết số 66-NQ/TW của Bộ Chính trị</w:t>
      </w:r>
      <w:r w:rsidRPr="00D543A3">
        <w:rPr>
          <w:shd w:val="clear" w:color="auto" w:fill="FFFFFF"/>
          <w:lang w:val="de-DE"/>
        </w:rPr>
        <w:t xml:space="preserve">. </w:t>
      </w:r>
      <w:r w:rsidRPr="00D543A3">
        <w:rPr>
          <w:bCs/>
        </w:rPr>
        <w:t xml:space="preserve"> </w:t>
      </w:r>
    </w:p>
    <w:p w14:paraId="6D3A36C1" w14:textId="77777777" w:rsidR="00470D3A" w:rsidRDefault="00402F39" w:rsidP="00C62FF6">
      <w:pPr>
        <w:ind w:firstLine="567"/>
        <w:jc w:val="both"/>
        <w:rPr>
          <w:b/>
        </w:rPr>
      </w:pPr>
      <w:r w:rsidRPr="00D543A3">
        <w:rPr>
          <w:b/>
        </w:rPr>
        <w:t>3.5. Nội dung phân quyền, phân cấp</w:t>
      </w:r>
    </w:p>
    <w:p w14:paraId="4A4F5490" w14:textId="44C9102D" w:rsidR="00470D3A" w:rsidRDefault="00402F39" w:rsidP="00C62FF6">
      <w:pPr>
        <w:ind w:firstLine="567"/>
        <w:jc w:val="both"/>
      </w:pPr>
      <w:r w:rsidRPr="00D543A3">
        <w:t xml:space="preserve">Dự thảo Luật bỏ quy định về điều kiện địa bàn thành lập Chi nhánh của Trung tâm TGPL nhà nước ở các huyện ở vùng có điều kiện kinh tế - xã hội đặc biệt khó khăn, giao thông không thuận tiện, chưa có tổ chức hành nghề luật sư hoặc tổ chức tư vấn pháp luật tham gia TGPL, nhằm phù hợp với tổ chức chính quyền địa phương 2 cấp. Đồng thời, giao Chủ tịch Ủy ban nhân dân cấp tỉnh căn cứ điều kiện thực tế tại địa phương để quyết định việc thành lập và địa bàn đặt Chi nhánh của Trung tâm, nhằm trao quyền mạnh mẽ hơn cho địa phương chủ động quyết định thành lập Chi nhánh, thực hiện triệt để nguyên tắc "địa phương </w:t>
      </w:r>
      <w:r w:rsidR="000D57A4">
        <w:rPr>
          <w:lang w:val="en-US"/>
        </w:rPr>
        <w:t>q</w:t>
      </w:r>
      <w:r w:rsidRPr="00D543A3">
        <w:t>uyết, địa phương làm, địa phương chịu trách nhiệm".</w:t>
      </w:r>
    </w:p>
    <w:p w14:paraId="67B75A92" w14:textId="7F76ACA6" w:rsidR="000D57A4" w:rsidRDefault="00402F39" w:rsidP="00C62FF6">
      <w:pPr>
        <w:ind w:firstLine="567"/>
        <w:jc w:val="both"/>
        <w:rPr>
          <w:b/>
          <w:bCs/>
          <w:lang w:val="it-IT"/>
        </w:rPr>
      </w:pPr>
      <w:r w:rsidRPr="00D543A3">
        <w:rPr>
          <w:b/>
          <w:bCs/>
          <w:iCs/>
        </w:rPr>
        <w:t xml:space="preserve">V. </w:t>
      </w:r>
      <w:r w:rsidRPr="00D543A3">
        <w:rPr>
          <w:b/>
          <w:bCs/>
          <w:lang w:val="it-IT"/>
        </w:rPr>
        <w:t xml:space="preserve">DỰ KIẾN NGUỒN LỰC, ĐIỀU KIỆN BẢO ĐẢM CHO VIỆC THI </w:t>
      </w:r>
      <w:r w:rsidR="009A3173">
        <w:rPr>
          <w:b/>
          <w:bCs/>
          <w:lang w:val="it-IT"/>
        </w:rPr>
        <w:t>H</w:t>
      </w:r>
      <w:r w:rsidRPr="00D543A3">
        <w:rPr>
          <w:b/>
          <w:bCs/>
          <w:lang w:val="it-IT"/>
        </w:rPr>
        <w:t>ÀNH LUẬT VÀ THỜ</w:t>
      </w:r>
      <w:r w:rsidR="00E90473">
        <w:rPr>
          <w:b/>
          <w:bCs/>
          <w:lang w:val="it-IT"/>
        </w:rPr>
        <w:t>I GIAN TRÌNH THÔNG QUA</w:t>
      </w:r>
    </w:p>
    <w:p w14:paraId="2EC98ABA" w14:textId="690108B1" w:rsidR="00470D3A" w:rsidRDefault="00402F39" w:rsidP="00C62FF6">
      <w:pPr>
        <w:ind w:firstLine="567"/>
        <w:jc w:val="both"/>
        <w:rPr>
          <w:b/>
          <w:lang w:val="it-IT"/>
        </w:rPr>
      </w:pPr>
      <w:r w:rsidRPr="00D543A3">
        <w:rPr>
          <w:b/>
          <w:bCs/>
          <w:lang w:val="it-IT"/>
        </w:rPr>
        <w:t>1.</w:t>
      </w:r>
      <w:r w:rsidRPr="00D543A3">
        <w:rPr>
          <w:b/>
          <w:bCs/>
          <w:lang w:val="zu-ZA"/>
        </w:rPr>
        <w:t xml:space="preserve"> </w:t>
      </w:r>
      <w:r w:rsidRPr="00D543A3">
        <w:rPr>
          <w:b/>
          <w:lang w:val="zu-ZA"/>
        </w:rPr>
        <w:t>Dự kiến nguồn lực</w:t>
      </w:r>
      <w:r w:rsidRPr="00D543A3">
        <w:rPr>
          <w:b/>
          <w:lang w:val="it-IT"/>
        </w:rPr>
        <w:t xml:space="preserve"> và nguồn kinh phí để triển khai thi hành Luật</w:t>
      </w:r>
    </w:p>
    <w:p w14:paraId="6232E8D8" w14:textId="77777777" w:rsidR="00470D3A" w:rsidRDefault="00402F39" w:rsidP="00C62FF6">
      <w:pPr>
        <w:ind w:firstLine="567"/>
        <w:jc w:val="both"/>
        <w:rPr>
          <w:bCs/>
          <w:lang w:val="it-IT"/>
        </w:rPr>
      </w:pPr>
      <w:r w:rsidRPr="00D543A3">
        <w:rPr>
          <w:bCs/>
          <w:lang w:val="it-IT"/>
        </w:rPr>
        <w:t>Sau khi Luật sửa đổi, bổ sung một số điều của Luật TGPL được ban hành, dự kiến kinh phí tổ chức triển khai thi hành luật được bố trí trong dự toán ngân sách nhà nước hàng năm của bộ, cơ quan Trung ương và địa phương theo quy định của Luật Ngân sách nhà nước.</w:t>
      </w:r>
    </w:p>
    <w:p w14:paraId="1F3F62B3" w14:textId="33B21CA0" w:rsidR="00470D3A" w:rsidRDefault="00402F39" w:rsidP="00C62FF6">
      <w:pPr>
        <w:ind w:firstLine="567"/>
        <w:jc w:val="both"/>
        <w:rPr>
          <w:bCs/>
          <w:lang w:val="it-IT"/>
        </w:rPr>
      </w:pPr>
      <w:r w:rsidRPr="00D543A3">
        <w:rPr>
          <w:bCs/>
          <w:lang w:val="it-IT"/>
        </w:rPr>
        <w:t xml:space="preserve">Mặc dù việc sửa đổi theo hướng mở rộng diện </w:t>
      </w:r>
      <w:r w:rsidR="00E90473">
        <w:rPr>
          <w:bCs/>
          <w:lang w:val="it-IT"/>
        </w:rPr>
        <w:t xml:space="preserve">người </w:t>
      </w:r>
      <w:r w:rsidRPr="00D543A3">
        <w:rPr>
          <w:bCs/>
          <w:lang w:val="it-IT"/>
        </w:rPr>
        <w:t>đượ</w:t>
      </w:r>
      <w:r w:rsidR="00E90473">
        <w:rPr>
          <w:bCs/>
          <w:lang w:val="it-IT"/>
        </w:rPr>
        <w:t>c TGPL như trên, nhưng chi phí mà ngân sách n</w:t>
      </w:r>
      <w:r w:rsidRPr="00D543A3">
        <w:rPr>
          <w:bCs/>
          <w:lang w:val="it-IT"/>
        </w:rPr>
        <w:t>hà nước có thể phải chi trả không lớn. Theo ước tính, khi sửa đổi, bổ sung diện người được TGPL sẽ phát sinh khoảng</w:t>
      </w:r>
      <w:r w:rsidR="00CA587D">
        <w:rPr>
          <w:bCs/>
          <w:lang w:val="it-IT"/>
        </w:rPr>
        <w:t xml:space="preserve"> gần</w:t>
      </w:r>
      <w:r w:rsidRPr="00D543A3">
        <w:rPr>
          <w:bCs/>
          <w:lang w:val="it-IT"/>
        </w:rPr>
        <w:t xml:space="preserve"> 12.000 vụ việc/năm. Hiện có hơn 1.900 người thực hiện TGPL, như vậy trung bình mỗi người thực hiện TGPL đảm nhận thêm khoảng</w:t>
      </w:r>
      <w:r w:rsidR="00CA587D">
        <w:rPr>
          <w:bCs/>
          <w:lang w:val="it-IT"/>
        </w:rPr>
        <w:t xml:space="preserve"> gần</w:t>
      </w:r>
      <w:r w:rsidRPr="00D543A3">
        <w:rPr>
          <w:bCs/>
          <w:lang w:val="it-IT"/>
        </w:rPr>
        <w:t xml:space="preserve"> 6 vụ/năm/người, </w:t>
      </w:r>
      <w:r w:rsidRPr="00D543A3">
        <w:rPr>
          <w:bCs/>
          <w:lang w:val="it-IT"/>
        </w:rPr>
        <w:lastRenderedPageBreak/>
        <w:t>không yêu cầu bổ sung người thực hiện TGPL hưởng lương từ ngân sách nhà nước. Hiện nay, kinh phí chi trả vụ việc TGPL là 2,8 triệu</w:t>
      </w:r>
      <w:r w:rsidR="009A3173">
        <w:rPr>
          <w:bCs/>
          <w:lang w:val="it-IT"/>
        </w:rPr>
        <w:t xml:space="preserve"> đồng</w:t>
      </w:r>
      <w:r w:rsidRPr="00D543A3">
        <w:rPr>
          <w:bCs/>
          <w:lang w:val="it-IT"/>
        </w:rPr>
        <w:t>/vụ. Do đó, ước tính kinh phí chi trả thực hiện số vụ việc này là khoảng 34 tỷ đồng/năm (trung bình 1 tỷ đồng/tỉnh/năm). Đây là chi phí trực tiếp cho thực hiện TGPL (chi trả thù lao cho luật sư, người thực hiện TGPL khác, chi phí đi lại, công tác phí…), không phát sinh chi phí hành chính, cơ sở vật chất, trang thiết bị và chi phí gián tiếp khác.</w:t>
      </w:r>
    </w:p>
    <w:p w14:paraId="410400F3" w14:textId="6F6CE8AA" w:rsidR="00470D3A" w:rsidRDefault="00402F39" w:rsidP="00C62FF6">
      <w:pPr>
        <w:ind w:firstLine="567"/>
        <w:jc w:val="both"/>
        <w:rPr>
          <w:bCs/>
          <w:lang w:val="it-IT"/>
        </w:rPr>
      </w:pPr>
      <w:r w:rsidRPr="00D543A3">
        <w:rPr>
          <w:bCs/>
          <w:lang w:val="it-IT"/>
        </w:rPr>
        <w:t xml:space="preserve">Dự kiến tổng kinh phí chi cho công tác TGPL sau khi Luật có hiệu lực </w:t>
      </w:r>
      <w:r w:rsidR="00E90473">
        <w:rPr>
          <w:bCs/>
          <w:lang w:val="it-IT"/>
        </w:rPr>
        <w:t xml:space="preserve">là </w:t>
      </w:r>
      <w:r w:rsidRPr="00D543A3">
        <w:rPr>
          <w:bCs/>
          <w:lang w:val="it-IT"/>
        </w:rPr>
        <w:t>khoảng 389 tỷ đồng (tăng 34 tỷ đồng so với năm 2025). Năm 2026, dự kiến chi ngân sách nhà nước là 3.159.106 tỷ đồng</w:t>
      </w:r>
      <w:r w:rsidRPr="00D543A3">
        <w:rPr>
          <w:rStyle w:val="FootnoteReference"/>
          <w:bCs/>
          <w:szCs w:val="28"/>
          <w:lang w:val="it-IT"/>
        </w:rPr>
        <w:footnoteReference w:id="13"/>
      </w:r>
      <w:r w:rsidRPr="00D543A3">
        <w:rPr>
          <w:bCs/>
          <w:lang w:val="it-IT"/>
        </w:rPr>
        <w:t>, như vậy, kinh phí TGPL chiếm 0,0123% trong dự toán chi ngân sách nhà nước. Như vậy, có thể khẳng định ngân sách nhà nước đủ khả năng đáp ứng đầy đủ, toàn diện và phù hợp xu hướng phát triển kinh tế - xã hội trong thời gian tới.</w:t>
      </w:r>
    </w:p>
    <w:p w14:paraId="0178F85E" w14:textId="53C062CA" w:rsidR="00470D3A" w:rsidRDefault="00402F39" w:rsidP="00C62FF6">
      <w:pPr>
        <w:ind w:firstLine="567"/>
        <w:jc w:val="both"/>
        <w:rPr>
          <w:bCs/>
          <w:lang w:val="it-IT"/>
        </w:rPr>
      </w:pPr>
      <w:r w:rsidRPr="00D543A3">
        <w:rPr>
          <w:bCs/>
          <w:lang w:val="it-IT"/>
        </w:rPr>
        <w:t xml:space="preserve">Về việc ứng dụng công nghệ thông tin, công nghệ số cho hoạt động TGPL, hiện nay dự án </w:t>
      </w:r>
      <w:r w:rsidR="009A3173">
        <w:rPr>
          <w:bCs/>
          <w:lang w:val="it-IT"/>
        </w:rPr>
        <w:t>H</w:t>
      </w:r>
      <w:r w:rsidRPr="00D543A3">
        <w:rPr>
          <w:bCs/>
          <w:lang w:val="it-IT"/>
        </w:rPr>
        <w:t>ệ thống thông tin TGPL đã được phê duyệt và đang triển khai xây dựng, bảo đảm</w:t>
      </w:r>
      <w:r w:rsidR="00433286" w:rsidRPr="00433286">
        <w:rPr>
          <w:bCs/>
          <w:lang w:val="it-IT"/>
        </w:rPr>
        <w:t xml:space="preserve"> </w:t>
      </w:r>
      <w:r w:rsidR="00433286" w:rsidRPr="00D543A3">
        <w:rPr>
          <w:bCs/>
          <w:lang w:val="it-IT"/>
        </w:rPr>
        <w:t>kinh phí</w:t>
      </w:r>
      <w:r w:rsidR="00433286">
        <w:rPr>
          <w:bCs/>
          <w:lang w:val="it-IT"/>
        </w:rPr>
        <w:t xml:space="preserve"> thực hiện</w:t>
      </w:r>
      <w:r w:rsidRPr="00D543A3">
        <w:rPr>
          <w:bCs/>
          <w:lang w:val="it-IT"/>
        </w:rPr>
        <w:t>.</w:t>
      </w:r>
    </w:p>
    <w:p w14:paraId="04745C4E" w14:textId="77777777" w:rsidR="00470D3A" w:rsidRDefault="00402F39" w:rsidP="00C62FF6">
      <w:pPr>
        <w:ind w:firstLine="567"/>
        <w:jc w:val="both"/>
        <w:rPr>
          <w:b/>
        </w:rPr>
      </w:pPr>
      <w:r w:rsidRPr="00D543A3">
        <w:rPr>
          <w:b/>
          <w:lang w:val="zu-ZA"/>
        </w:rPr>
        <w:t xml:space="preserve">2. Các điều kiện đảm bảo thi hành </w:t>
      </w:r>
      <w:r w:rsidRPr="00D543A3">
        <w:rPr>
          <w:b/>
        </w:rPr>
        <w:t>Luật</w:t>
      </w:r>
    </w:p>
    <w:p w14:paraId="09627215" w14:textId="77777777" w:rsidR="00470D3A" w:rsidRDefault="00402F39" w:rsidP="00C62FF6">
      <w:pPr>
        <w:ind w:firstLine="567"/>
        <w:jc w:val="both"/>
        <w:rPr>
          <w:i/>
          <w:lang w:val="zu-ZA"/>
        </w:rPr>
      </w:pPr>
      <w:r w:rsidRPr="00D543A3">
        <w:rPr>
          <w:i/>
          <w:iCs/>
          <w:lang w:val="zu-ZA"/>
        </w:rPr>
        <w:t>2.1.</w:t>
      </w:r>
      <w:r w:rsidRPr="00D543A3">
        <w:rPr>
          <w:i/>
          <w:lang w:val="zu-ZA"/>
        </w:rPr>
        <w:t xml:space="preserve"> Ban hành các văn bản quy định chi tiết, hướng dẫn thi hành</w:t>
      </w:r>
    </w:p>
    <w:p w14:paraId="44B48E3B" w14:textId="2B2F895F" w:rsidR="00470D3A" w:rsidRDefault="00402F39" w:rsidP="00C62FF6">
      <w:pPr>
        <w:ind w:firstLine="567"/>
        <w:jc w:val="both"/>
        <w:rPr>
          <w:lang w:val="zu-ZA"/>
        </w:rPr>
      </w:pPr>
      <w:r w:rsidRPr="00D543A3">
        <w:rPr>
          <w:lang w:val="zu-ZA"/>
        </w:rPr>
        <w:t xml:space="preserve">Sau khi </w:t>
      </w:r>
      <w:r w:rsidRPr="00D543A3">
        <w:rPr>
          <w:bCs/>
          <w:iCs/>
          <w:lang w:val="zu-ZA"/>
        </w:rPr>
        <w:t xml:space="preserve">Luật sửa đổi, bổ sung một số điều của Luật TGPL </w:t>
      </w:r>
      <w:r w:rsidRPr="00D543A3">
        <w:rPr>
          <w:lang w:val="zu-ZA"/>
        </w:rPr>
        <w:t xml:space="preserve">được ban hành, Chính phủ </w:t>
      </w:r>
      <w:r w:rsidR="00E90473">
        <w:rPr>
          <w:lang w:val="zu-ZA"/>
        </w:rPr>
        <w:t xml:space="preserve">ban hành Nghị định </w:t>
      </w:r>
      <w:r w:rsidRPr="00D543A3">
        <w:rPr>
          <w:lang w:val="zu-ZA"/>
        </w:rPr>
        <w:t>quy định chi tiết và các biện pháp thi hành Luật, Bộ trưởng Bộ Tư pháp ban hành Thông tư hướng dẫn những nội dung được giao và những nhiệm vụ thuộc chức năng, nhiệm vụ của Bộ.</w:t>
      </w:r>
    </w:p>
    <w:p w14:paraId="1CA012B6" w14:textId="21B8AC3E" w:rsidR="00470D3A" w:rsidRDefault="00402F39" w:rsidP="00C62FF6">
      <w:pPr>
        <w:ind w:firstLine="567"/>
        <w:jc w:val="both"/>
        <w:rPr>
          <w:bCs/>
          <w:i/>
          <w:lang w:val="zu-ZA"/>
        </w:rPr>
      </w:pPr>
      <w:r w:rsidRPr="00D543A3">
        <w:rPr>
          <w:bCs/>
          <w:i/>
          <w:lang w:val="zu-ZA"/>
        </w:rPr>
        <w:t>2.2. Tổ chức thi hành Luật sau khi ban hành</w:t>
      </w:r>
    </w:p>
    <w:p w14:paraId="25DBF8AB" w14:textId="112CC6D1" w:rsidR="00470D3A" w:rsidRDefault="00402F39" w:rsidP="00C62FF6">
      <w:pPr>
        <w:ind w:firstLine="567"/>
        <w:jc w:val="both"/>
        <w:rPr>
          <w:lang w:val="zu-ZA"/>
        </w:rPr>
      </w:pPr>
      <w:r w:rsidRPr="00D543A3">
        <w:rPr>
          <w:lang w:val="zu-ZA"/>
        </w:rPr>
        <w:t xml:space="preserve">a) Bộ Tư pháp chủ trì, phối hợp với các Bộ, cơ quan ngang Bộ, cơ quan thuộc Chính phủ và </w:t>
      </w:r>
      <w:r w:rsidR="00F56CBB">
        <w:rPr>
          <w:rFonts w:eastAsia="Times New Roman"/>
          <w:szCs w:val="28"/>
          <w:lang w:val="nl-NL"/>
        </w:rPr>
        <w:t>Ủy ban nhân dân</w:t>
      </w:r>
      <w:r w:rsidRPr="00D543A3">
        <w:rPr>
          <w:lang w:val="zu-ZA"/>
        </w:rPr>
        <w:t xml:space="preserve"> các tỉnh, thành phố:</w:t>
      </w:r>
    </w:p>
    <w:p w14:paraId="61223E12" w14:textId="3648130F" w:rsidR="00470D3A" w:rsidRDefault="00402F39" w:rsidP="00C62FF6">
      <w:pPr>
        <w:ind w:firstLine="567"/>
        <w:jc w:val="both"/>
        <w:rPr>
          <w:lang w:val="zu-ZA"/>
        </w:rPr>
      </w:pPr>
      <w:r w:rsidRPr="00D543A3">
        <w:rPr>
          <w:lang w:val="zu-ZA"/>
        </w:rPr>
        <w:t xml:space="preserve">- Thực hiện tuyên truyền, phổ biến, </w:t>
      </w:r>
      <w:r w:rsidRPr="00D543A3">
        <w:rPr>
          <w:bCs/>
          <w:lang w:val="zu-ZA"/>
        </w:rPr>
        <w:t xml:space="preserve">hướng dẫn việc triển khai tổ chức thực </w:t>
      </w:r>
      <w:r w:rsidR="009A3173">
        <w:rPr>
          <w:bCs/>
          <w:lang w:val="zu-ZA"/>
        </w:rPr>
        <w:t>h</w:t>
      </w:r>
      <w:r w:rsidRPr="00D543A3">
        <w:rPr>
          <w:bCs/>
          <w:lang w:val="zu-ZA"/>
        </w:rPr>
        <w:t>iện Luật</w:t>
      </w:r>
      <w:r w:rsidRPr="00D543A3">
        <w:rPr>
          <w:lang w:val="zu-ZA"/>
        </w:rPr>
        <w:t>;</w:t>
      </w:r>
    </w:p>
    <w:p w14:paraId="68D42F7F" w14:textId="77777777" w:rsidR="00470D3A" w:rsidRDefault="00402F39" w:rsidP="00C62FF6">
      <w:pPr>
        <w:ind w:firstLine="567"/>
        <w:jc w:val="both"/>
        <w:rPr>
          <w:bCs/>
          <w:lang w:val="zu-ZA"/>
        </w:rPr>
      </w:pPr>
      <w:r w:rsidRPr="00D543A3">
        <w:rPr>
          <w:lang w:val="zu-ZA"/>
        </w:rPr>
        <w:t xml:space="preserve">- Tham mưu, giúp Chính phủ xây dựng văn bản </w:t>
      </w:r>
      <w:r w:rsidRPr="00D543A3">
        <w:rPr>
          <w:bCs/>
          <w:lang w:val="zu-ZA"/>
        </w:rPr>
        <w:t>quy định chi tiết Luật;</w:t>
      </w:r>
    </w:p>
    <w:p w14:paraId="64CCBE41" w14:textId="77777777" w:rsidR="009A3173" w:rsidRDefault="00402F39" w:rsidP="00C62FF6">
      <w:pPr>
        <w:ind w:firstLine="567"/>
        <w:jc w:val="both"/>
        <w:rPr>
          <w:spacing w:val="-4"/>
          <w:lang w:val="zu-ZA"/>
        </w:rPr>
      </w:pPr>
      <w:r w:rsidRPr="00D543A3">
        <w:rPr>
          <w:lang w:val="zu-ZA"/>
        </w:rPr>
        <w:t xml:space="preserve">- Kiểm tra, theo dõi thi hành Luật, </w:t>
      </w:r>
      <w:r w:rsidRPr="00D543A3">
        <w:rPr>
          <w:spacing w:val="-4"/>
          <w:lang w:val="zu-ZA"/>
        </w:rPr>
        <w:t>các văn bản quy phạm pháp luật quy định chi tiết và hướng dẫn thi hành Luật.</w:t>
      </w:r>
    </w:p>
    <w:p w14:paraId="3F9269B0" w14:textId="664B1E37" w:rsidR="00470D3A" w:rsidRDefault="00402F39" w:rsidP="00C62FF6">
      <w:pPr>
        <w:ind w:firstLine="567"/>
        <w:jc w:val="both"/>
        <w:rPr>
          <w:lang w:val="zu-ZA"/>
        </w:rPr>
      </w:pPr>
      <w:r w:rsidRPr="00D543A3">
        <w:rPr>
          <w:lang w:val="zu-ZA"/>
        </w:rPr>
        <w:t xml:space="preserve">b) </w:t>
      </w:r>
      <w:r w:rsidR="00F56CBB">
        <w:rPr>
          <w:rFonts w:eastAsia="Times New Roman"/>
          <w:szCs w:val="28"/>
          <w:lang w:val="nl-NL"/>
        </w:rPr>
        <w:t>Ủy ban nhân dân</w:t>
      </w:r>
      <w:r w:rsidRPr="00D543A3">
        <w:rPr>
          <w:lang w:val="zu-ZA"/>
        </w:rPr>
        <w:t xml:space="preserve"> các cấp: </w:t>
      </w:r>
    </w:p>
    <w:p w14:paraId="33D14467" w14:textId="77777777" w:rsidR="00470D3A" w:rsidRDefault="00402F39" w:rsidP="00C62FF6">
      <w:pPr>
        <w:ind w:firstLine="567"/>
        <w:jc w:val="both"/>
        <w:rPr>
          <w:lang w:val="zu-ZA"/>
        </w:rPr>
      </w:pPr>
      <w:r w:rsidRPr="00D543A3">
        <w:rPr>
          <w:lang w:val="zu-ZA"/>
        </w:rPr>
        <w:t xml:space="preserve">Bố trí nguồn lực để thực hiện các quy định trong Luật. Ngoài nguồn kinh phí do ngân sách nhà nước cấp, huy động nguồn lực từ cơ quan, đơn vị và địa </w:t>
      </w:r>
      <w:r w:rsidRPr="00D543A3">
        <w:rPr>
          <w:lang w:val="zu-ZA"/>
        </w:rPr>
        <w:lastRenderedPageBreak/>
        <w:t>phương, hỗ trợ của các tổ chức xã hội, tổ chức quốc tế hoặc lồng ghép vào các chương trình, dự án khác để có nguồn lực bảo đảm cho việc thực hiện Luật. </w:t>
      </w:r>
    </w:p>
    <w:p w14:paraId="16695F42" w14:textId="1FE79B59" w:rsidR="00470D3A" w:rsidRDefault="00402F39" w:rsidP="00C62FF6">
      <w:pPr>
        <w:ind w:firstLine="567"/>
        <w:jc w:val="both"/>
        <w:rPr>
          <w:b/>
          <w:bCs/>
          <w:lang w:val="zu-ZA"/>
        </w:rPr>
      </w:pPr>
      <w:r w:rsidRPr="00D543A3">
        <w:rPr>
          <w:b/>
          <w:bCs/>
          <w:lang w:val="zu-ZA"/>
        </w:rPr>
        <w:t>3. Thời gian dự kiế</w:t>
      </w:r>
      <w:r w:rsidR="00E90473">
        <w:rPr>
          <w:b/>
          <w:bCs/>
          <w:lang w:val="zu-ZA"/>
        </w:rPr>
        <w:t>n trình thông qua</w:t>
      </w:r>
    </w:p>
    <w:p w14:paraId="440A1E3F" w14:textId="21F92A82" w:rsidR="00470D3A" w:rsidRDefault="00402F39" w:rsidP="00C62FF6">
      <w:pPr>
        <w:ind w:firstLine="567"/>
        <w:jc w:val="both"/>
        <w:rPr>
          <w:lang w:val="zu-ZA"/>
        </w:rPr>
      </w:pPr>
      <w:r w:rsidRPr="00D543A3">
        <w:rPr>
          <w:bCs/>
          <w:lang w:val="zu-ZA"/>
        </w:rPr>
        <w:t xml:space="preserve"> Theo Nghị quyết số 105/2025/UBTVQH15 ngày 26/9/2025 của Ủy ban Thường vụ Quốc hội về Chương trình lập pháp năm 2026, </w:t>
      </w:r>
      <w:r w:rsidRPr="00D543A3">
        <w:rPr>
          <w:lang w:val="zu-ZA"/>
        </w:rPr>
        <w:t>căn cứ vào quy định của Luật Ban hành văn bản quy phạm pháp luật năm 2025, Chính phủ trình Uỷ ban Thường vụ Quốc hộ</w:t>
      </w:r>
      <w:r w:rsidR="00E90473">
        <w:rPr>
          <w:lang w:val="zu-ZA"/>
        </w:rPr>
        <w:t>i d</w:t>
      </w:r>
      <w:r w:rsidRPr="00D543A3">
        <w:rPr>
          <w:lang w:val="zu-ZA"/>
        </w:rPr>
        <w:t>ự án Luật vào tháng 01-02/2026</w:t>
      </w:r>
      <w:r w:rsidRPr="00D543A3">
        <w:rPr>
          <w:spacing w:val="-2"/>
          <w:lang w:val="zu-ZA"/>
        </w:rPr>
        <w:t xml:space="preserve">, </w:t>
      </w:r>
      <w:r w:rsidRPr="00D543A3">
        <w:rPr>
          <w:lang w:val="zu-ZA"/>
        </w:rPr>
        <w:t>trình Quốc hội xem xét, thông qua tại Kỳ họp thứ nhất, Quốc hội khóa XVI (tháng 4/2026).</w:t>
      </w:r>
    </w:p>
    <w:p w14:paraId="485C5DC1" w14:textId="010D17CA" w:rsidR="00470D3A" w:rsidRDefault="00402F39" w:rsidP="00C62FF6">
      <w:pPr>
        <w:ind w:firstLine="567"/>
        <w:jc w:val="both"/>
        <w:rPr>
          <w:i/>
          <w:lang w:val="it-IT"/>
        </w:rPr>
      </w:pPr>
      <w:r w:rsidRPr="00D543A3">
        <w:rPr>
          <w:lang w:val="it-IT"/>
        </w:rPr>
        <w:t>Tr</w:t>
      </w:r>
      <w:r w:rsidRPr="00D543A3">
        <w:rPr>
          <w:lang w:val="hr-HR"/>
        </w:rPr>
        <w:t>ê</w:t>
      </w:r>
      <w:r w:rsidRPr="00D543A3">
        <w:rPr>
          <w:lang w:val="it-IT"/>
        </w:rPr>
        <w:t>n</w:t>
      </w:r>
      <w:r w:rsidRPr="00D543A3">
        <w:rPr>
          <w:lang w:val="hr-HR"/>
        </w:rPr>
        <w:t xml:space="preserve"> đâ</w:t>
      </w:r>
      <w:r w:rsidRPr="00D543A3">
        <w:rPr>
          <w:lang w:val="it-IT"/>
        </w:rPr>
        <w:t>y</w:t>
      </w:r>
      <w:r w:rsidRPr="00D543A3">
        <w:rPr>
          <w:lang w:val="hr-HR"/>
        </w:rPr>
        <w:t xml:space="preserve"> </w:t>
      </w:r>
      <w:r w:rsidRPr="00D543A3">
        <w:rPr>
          <w:lang w:val="it-IT"/>
        </w:rPr>
        <w:t>l</w:t>
      </w:r>
      <w:r w:rsidRPr="00D543A3">
        <w:rPr>
          <w:lang w:val="hr-HR"/>
        </w:rPr>
        <w:t xml:space="preserve">à </w:t>
      </w:r>
      <w:r w:rsidRPr="00D543A3">
        <w:rPr>
          <w:lang w:val="it-IT"/>
        </w:rPr>
        <w:t>Tờ trình về</w:t>
      </w:r>
      <w:r w:rsidRPr="00D543A3">
        <w:rPr>
          <w:lang w:val="hr-HR"/>
        </w:rPr>
        <w:t xml:space="preserve"> Dự án </w:t>
      </w:r>
      <w:r w:rsidRPr="00D543A3">
        <w:rPr>
          <w:lang w:val="pt-BR"/>
        </w:rPr>
        <w:t>Luật</w:t>
      </w:r>
      <w:r w:rsidRPr="00D543A3">
        <w:t xml:space="preserve"> </w:t>
      </w:r>
      <w:r w:rsidRPr="00D543A3">
        <w:rPr>
          <w:lang w:val="it-IT"/>
        </w:rPr>
        <w:t xml:space="preserve">sửa đổi, bổ sung một số điều của </w:t>
      </w:r>
      <w:r w:rsidRPr="00D543A3">
        <w:rPr>
          <w:lang w:val="zu-ZA"/>
        </w:rPr>
        <w:t xml:space="preserve">Luật </w:t>
      </w:r>
      <w:r w:rsidRPr="00D543A3">
        <w:rPr>
          <w:lang w:val="it-IT"/>
        </w:rPr>
        <w:t>TGPL</w:t>
      </w:r>
      <w:r w:rsidRPr="00D543A3">
        <w:rPr>
          <w:lang w:val="pt-BR"/>
        </w:rPr>
        <w:t xml:space="preserve">, </w:t>
      </w:r>
      <w:r w:rsidRPr="00D543A3">
        <w:rPr>
          <w:bCs/>
          <w:iCs/>
          <w:spacing w:val="-6"/>
          <w:lang w:val="es-ES_tradnl"/>
        </w:rPr>
        <w:t xml:space="preserve">Chính phủ </w:t>
      </w:r>
      <w:r w:rsidR="00E90473">
        <w:rPr>
          <w:bCs/>
          <w:iCs/>
          <w:spacing w:val="-6"/>
          <w:lang w:val="es-ES_tradnl"/>
        </w:rPr>
        <w:t xml:space="preserve">kính </w:t>
      </w:r>
      <w:r w:rsidRPr="00D543A3">
        <w:rPr>
          <w:bCs/>
          <w:iCs/>
          <w:spacing w:val="-6"/>
          <w:lang w:val="es-ES_tradnl"/>
        </w:rPr>
        <w:t>trình Quốc hội xem xét, quyết định./.</w:t>
      </w:r>
      <w:r w:rsidRPr="00D543A3">
        <w:rPr>
          <w:i/>
          <w:lang w:val="it-IT"/>
        </w:rPr>
        <w:t xml:space="preserve"> </w:t>
      </w:r>
    </w:p>
    <w:p w14:paraId="12E45DD5" w14:textId="2BACD801" w:rsidR="00402F39" w:rsidRPr="00D543A3" w:rsidRDefault="00402F39" w:rsidP="00C62FF6">
      <w:pPr>
        <w:spacing w:after="240" w:line="240" w:lineRule="auto"/>
        <w:ind w:firstLine="567"/>
        <w:jc w:val="both"/>
        <w:rPr>
          <w:bCs/>
          <w:i/>
          <w:iCs/>
          <w:spacing w:val="-6"/>
          <w:lang w:val="es-ES_tradnl"/>
        </w:rPr>
      </w:pPr>
      <w:r w:rsidRPr="00D543A3">
        <w:rPr>
          <w:i/>
          <w:lang w:val="it-IT"/>
        </w:rPr>
        <w:t>(Xin gửi kèm theo: (</w:t>
      </w:r>
      <w:r w:rsidRPr="00D543A3">
        <w:rPr>
          <w:rFonts w:eastAsia="Times New Roman"/>
          <w:i/>
          <w:lang w:val="it-IT"/>
        </w:rPr>
        <w:t xml:space="preserve">1) Dự thảo Luật; (2) Báo cáo tổng kết thi hành Luật TGPL; (3) Báo cáo về rà soát các chủ trương, đường lối của Đảng, văn bản quy phạm pháp luật, điều ước quốc tế có liên quan đến </w:t>
      </w:r>
      <w:r w:rsidR="00C62FF6">
        <w:rPr>
          <w:rFonts w:eastAsia="Times New Roman"/>
          <w:i/>
          <w:lang w:val="it-IT"/>
        </w:rPr>
        <w:t>Dự thảo Luật</w:t>
      </w:r>
      <w:r w:rsidRPr="00D543A3">
        <w:rPr>
          <w:rFonts w:eastAsia="Times New Roman"/>
          <w:i/>
          <w:lang w:val="it-IT"/>
        </w:rPr>
        <w:t xml:space="preserve">; (4) Bản đánh giá thủ tục hành chính, việc phân quyền, phân cấp, </w:t>
      </w:r>
      <w:r w:rsidRPr="00D543A3">
        <w:rPr>
          <w:i/>
          <w:iCs/>
          <w:lang w:val="it-IT"/>
        </w:rPr>
        <w:t>việc ứng dụng, thúc đẩy phát triển khoa học, công nghệ, đổi mới sáng tạo và chuyển đổi số, việc bảo đảm bình đẳng giới, chính sách dân tộc</w:t>
      </w:r>
      <w:r w:rsidRPr="00D543A3">
        <w:rPr>
          <w:rFonts w:eastAsia="Times New Roman"/>
          <w:i/>
          <w:lang w:val="it-IT"/>
        </w:rPr>
        <w:t xml:space="preserve">; (5) Bản thuyết minh quy phạm hóa chính sách; (6) Bản so sánh </w:t>
      </w:r>
      <w:r w:rsidR="00C62FF6">
        <w:rPr>
          <w:rFonts w:eastAsia="Times New Roman"/>
          <w:i/>
          <w:lang w:val="it-IT"/>
        </w:rPr>
        <w:t>Dự thảo Luật</w:t>
      </w:r>
      <w:r w:rsidRPr="00D543A3">
        <w:rPr>
          <w:rFonts w:eastAsia="Times New Roman"/>
          <w:i/>
          <w:lang w:val="it-IT"/>
        </w:rPr>
        <w:t xml:space="preserve"> với Luật TGPL năm 2017; (7) Bản tổng hợp ý kiến, tiếp thu, giải trình ý kiến góp ý, phản biện xã hội; </w:t>
      </w:r>
      <w:r w:rsidR="00C62FF6" w:rsidRPr="001F5378">
        <w:rPr>
          <w:rFonts w:eastAsia="Times New Roman"/>
          <w:i/>
          <w:lang w:val="it-IT"/>
        </w:rPr>
        <w:t xml:space="preserve">(8) </w:t>
      </w:r>
      <w:r w:rsidR="00C62FF6">
        <w:rPr>
          <w:rFonts w:eastAsia="Times New Roman"/>
          <w:i/>
          <w:lang w:val="it-IT"/>
        </w:rPr>
        <w:t xml:space="preserve">Báo cáo thẩm định; </w:t>
      </w:r>
      <w:r w:rsidR="00C62FF6" w:rsidRPr="001F5378">
        <w:rPr>
          <w:rFonts w:eastAsia="Times New Roman"/>
          <w:i/>
          <w:lang w:val="it-IT"/>
        </w:rPr>
        <w:t xml:space="preserve">(9) Báo cáo tiếp thu, giải trình ý kiến thẩm định; </w:t>
      </w:r>
      <w:r w:rsidR="00C62FF6">
        <w:rPr>
          <w:rFonts w:eastAsia="Times New Roman"/>
          <w:i/>
          <w:lang w:val="it-IT"/>
        </w:rPr>
        <w:t xml:space="preserve">(10) </w:t>
      </w:r>
      <w:r w:rsidR="00C62FF6" w:rsidRPr="001F5378">
        <w:rPr>
          <w:rFonts w:eastAsia="Times New Roman"/>
          <w:i/>
          <w:lang w:val="it-IT"/>
        </w:rPr>
        <w:t>Bản nghiên cứu kinh nghiệm</w:t>
      </w:r>
      <w:r w:rsidRPr="00D543A3">
        <w:rPr>
          <w:rFonts w:eastAsia="Times New Roman"/>
          <w:i/>
          <w:lang w:val="it-IT"/>
        </w:rPr>
        <w:t xml:space="preserve"> TGPL nước ngoài</w:t>
      </w:r>
      <w:r w:rsidRPr="00D543A3">
        <w:t>.</w:t>
      </w:r>
    </w:p>
    <w:tbl>
      <w:tblPr>
        <w:tblW w:w="9072" w:type="dxa"/>
        <w:tblInd w:w="108" w:type="dxa"/>
        <w:tblLayout w:type="fixed"/>
        <w:tblLook w:val="0000" w:firstRow="0" w:lastRow="0" w:firstColumn="0" w:lastColumn="0" w:noHBand="0" w:noVBand="0"/>
      </w:tblPr>
      <w:tblGrid>
        <w:gridCol w:w="4536"/>
        <w:gridCol w:w="4536"/>
      </w:tblGrid>
      <w:tr w:rsidR="00402F39" w:rsidRPr="00D543A3" w14:paraId="79EDC601" w14:textId="77777777" w:rsidTr="004F318B">
        <w:trPr>
          <w:trHeight w:val="2850"/>
        </w:trPr>
        <w:tc>
          <w:tcPr>
            <w:tcW w:w="4536" w:type="dxa"/>
          </w:tcPr>
          <w:p w14:paraId="5DF05FFC" w14:textId="77777777" w:rsidR="00402F39" w:rsidRPr="005D4DBC" w:rsidRDefault="00402F39" w:rsidP="00C62FF6">
            <w:pPr>
              <w:spacing w:after="0" w:line="240" w:lineRule="auto"/>
              <w:jc w:val="both"/>
              <w:rPr>
                <w:b/>
                <w:i/>
                <w:sz w:val="24"/>
                <w:szCs w:val="24"/>
              </w:rPr>
            </w:pPr>
            <w:r w:rsidRPr="005D4DBC">
              <w:rPr>
                <w:b/>
                <w:i/>
                <w:sz w:val="24"/>
                <w:szCs w:val="24"/>
              </w:rPr>
              <w:t>Nơi nhận:</w:t>
            </w:r>
          </w:p>
          <w:p w14:paraId="699F3BCF" w14:textId="77777777" w:rsidR="00402F39" w:rsidRPr="005D4DBC" w:rsidRDefault="00402F39" w:rsidP="00C62FF6">
            <w:pPr>
              <w:spacing w:after="0" w:line="240" w:lineRule="auto"/>
              <w:jc w:val="both"/>
              <w:rPr>
                <w:sz w:val="24"/>
                <w:szCs w:val="24"/>
              </w:rPr>
            </w:pPr>
            <w:r w:rsidRPr="005D4DBC">
              <w:rPr>
                <w:sz w:val="24"/>
                <w:szCs w:val="24"/>
              </w:rPr>
              <w:t>- Như trên;</w:t>
            </w:r>
          </w:p>
          <w:p w14:paraId="1CC6584E" w14:textId="77777777" w:rsidR="00402F39" w:rsidRPr="005D4DBC" w:rsidRDefault="00402F39" w:rsidP="00C62FF6">
            <w:pPr>
              <w:spacing w:after="0" w:line="240" w:lineRule="auto"/>
              <w:jc w:val="both"/>
              <w:rPr>
                <w:sz w:val="24"/>
                <w:szCs w:val="24"/>
              </w:rPr>
            </w:pPr>
            <w:r w:rsidRPr="005D4DBC">
              <w:rPr>
                <w:sz w:val="24"/>
                <w:szCs w:val="24"/>
              </w:rPr>
              <w:t>- Thủ tướng Chính phủ (để báo cáo);</w:t>
            </w:r>
          </w:p>
          <w:p w14:paraId="00367597" w14:textId="208A9AD9" w:rsidR="00402F39" w:rsidRDefault="00402F39" w:rsidP="00C62FF6">
            <w:pPr>
              <w:spacing w:after="0" w:line="240" w:lineRule="auto"/>
              <w:jc w:val="both"/>
              <w:rPr>
                <w:sz w:val="24"/>
                <w:szCs w:val="24"/>
              </w:rPr>
            </w:pPr>
            <w:r w:rsidRPr="005D4DBC">
              <w:rPr>
                <w:sz w:val="24"/>
                <w:szCs w:val="24"/>
              </w:rPr>
              <w:t>- Các Phó Thủ tướng Chính phủ (để báo cáo);</w:t>
            </w:r>
          </w:p>
          <w:p w14:paraId="70C4DA75" w14:textId="02EB928B" w:rsidR="00E90473" w:rsidRDefault="00E90473" w:rsidP="00E90473">
            <w:pPr>
              <w:spacing w:after="0" w:line="240" w:lineRule="auto"/>
              <w:jc w:val="both"/>
              <w:rPr>
                <w:sz w:val="24"/>
                <w:szCs w:val="24"/>
              </w:rPr>
            </w:pPr>
            <w:r w:rsidRPr="005D4DBC">
              <w:rPr>
                <w:sz w:val="24"/>
                <w:szCs w:val="24"/>
              </w:rPr>
              <w:t>- Ban Nội chính Trung ương;</w:t>
            </w:r>
          </w:p>
          <w:p w14:paraId="2261A1EF" w14:textId="467A7BC7" w:rsidR="00E90473" w:rsidRPr="005D4DBC" w:rsidRDefault="00E90473" w:rsidP="00E90473">
            <w:pPr>
              <w:spacing w:after="0" w:line="240" w:lineRule="auto"/>
              <w:jc w:val="both"/>
              <w:rPr>
                <w:sz w:val="24"/>
                <w:szCs w:val="24"/>
              </w:rPr>
            </w:pPr>
            <w:r w:rsidRPr="005D4DBC">
              <w:rPr>
                <w:sz w:val="24"/>
                <w:szCs w:val="24"/>
              </w:rPr>
              <w:t>- Văn phòng Trung ương Đảng;</w:t>
            </w:r>
          </w:p>
          <w:p w14:paraId="0C49E6F2" w14:textId="046579A4" w:rsidR="00E90473" w:rsidRPr="00E90473" w:rsidRDefault="00E90473" w:rsidP="00C62FF6">
            <w:pPr>
              <w:spacing w:after="0" w:line="240" w:lineRule="auto"/>
              <w:jc w:val="both"/>
              <w:rPr>
                <w:sz w:val="24"/>
                <w:szCs w:val="24"/>
              </w:rPr>
            </w:pPr>
            <w:r w:rsidRPr="00E90473">
              <w:rPr>
                <w:sz w:val="24"/>
                <w:szCs w:val="24"/>
              </w:rPr>
              <w:t>- Ủy ban Pháp luật và Tư pháp của Quốc hội;</w:t>
            </w:r>
          </w:p>
          <w:p w14:paraId="77EF419C" w14:textId="77777777" w:rsidR="00402F39" w:rsidRPr="005D4DBC" w:rsidRDefault="00402F39" w:rsidP="00C62FF6">
            <w:pPr>
              <w:spacing w:after="0" w:line="240" w:lineRule="auto"/>
              <w:jc w:val="both"/>
              <w:rPr>
                <w:sz w:val="24"/>
                <w:szCs w:val="24"/>
              </w:rPr>
            </w:pPr>
            <w:r w:rsidRPr="005D4DBC">
              <w:rPr>
                <w:sz w:val="24"/>
                <w:szCs w:val="24"/>
              </w:rPr>
              <w:t>- Văn phòng Quốc hội;</w:t>
            </w:r>
          </w:p>
          <w:p w14:paraId="2BE95BC6" w14:textId="77777777" w:rsidR="00402F39" w:rsidRPr="005D4DBC" w:rsidRDefault="00402F39" w:rsidP="00C62FF6">
            <w:pPr>
              <w:spacing w:after="0" w:line="240" w:lineRule="auto"/>
              <w:jc w:val="both"/>
              <w:rPr>
                <w:spacing w:val="-10"/>
                <w:sz w:val="24"/>
                <w:szCs w:val="24"/>
              </w:rPr>
            </w:pPr>
            <w:r w:rsidRPr="005D4DBC">
              <w:rPr>
                <w:sz w:val="24"/>
                <w:szCs w:val="24"/>
                <w:lang w:val="eu-ES"/>
              </w:rPr>
              <w:t>- VPCP: BTCN, các PCN, các Vụ: TH, QHĐP, NC, KGVX, KTTH;</w:t>
            </w:r>
          </w:p>
          <w:p w14:paraId="3272899B" w14:textId="77777777" w:rsidR="00402F39" w:rsidRPr="00D543A3" w:rsidRDefault="00402F39" w:rsidP="00C62FF6">
            <w:pPr>
              <w:spacing w:after="0" w:line="240" w:lineRule="auto"/>
              <w:jc w:val="both"/>
            </w:pPr>
            <w:r w:rsidRPr="005D4DBC">
              <w:rPr>
                <w:sz w:val="24"/>
                <w:szCs w:val="24"/>
              </w:rPr>
              <w:t>- Lưu: VT, PL(3).</w:t>
            </w:r>
          </w:p>
        </w:tc>
        <w:tc>
          <w:tcPr>
            <w:tcW w:w="4536" w:type="dxa"/>
          </w:tcPr>
          <w:p w14:paraId="6F15CE81" w14:textId="77777777" w:rsidR="00402F39" w:rsidRPr="00D543A3" w:rsidRDefault="00402F39" w:rsidP="00C62FF6">
            <w:pPr>
              <w:spacing w:after="0" w:line="240" w:lineRule="auto"/>
              <w:jc w:val="center"/>
              <w:rPr>
                <w:b/>
              </w:rPr>
            </w:pPr>
            <w:r w:rsidRPr="00D543A3">
              <w:rPr>
                <w:b/>
              </w:rPr>
              <w:t>TM. CHÍNH PHỦ</w:t>
            </w:r>
          </w:p>
          <w:p w14:paraId="32A02AD8" w14:textId="77777777" w:rsidR="00402F39" w:rsidRPr="00D543A3" w:rsidRDefault="00402F39" w:rsidP="00C62FF6">
            <w:pPr>
              <w:spacing w:after="0" w:line="240" w:lineRule="auto"/>
              <w:jc w:val="center"/>
              <w:rPr>
                <w:b/>
              </w:rPr>
            </w:pPr>
            <w:r w:rsidRPr="00D543A3">
              <w:rPr>
                <w:b/>
              </w:rPr>
              <w:t>TUQ. THỦ TƯỚNG</w:t>
            </w:r>
          </w:p>
          <w:p w14:paraId="45985D3C" w14:textId="77777777" w:rsidR="00402F39" w:rsidRPr="00D543A3" w:rsidRDefault="00402F39" w:rsidP="00C62FF6">
            <w:pPr>
              <w:spacing w:after="0" w:line="240" w:lineRule="auto"/>
              <w:jc w:val="center"/>
              <w:rPr>
                <w:b/>
              </w:rPr>
            </w:pPr>
            <w:r w:rsidRPr="00D543A3">
              <w:rPr>
                <w:b/>
              </w:rPr>
              <w:t>BỘ TRƯỞNG BỘ TƯ PHÁP</w:t>
            </w:r>
          </w:p>
          <w:p w14:paraId="013DAC8E" w14:textId="77777777" w:rsidR="00402F39" w:rsidRPr="00D543A3" w:rsidRDefault="00402F39" w:rsidP="00C62FF6">
            <w:pPr>
              <w:spacing w:after="0" w:line="240" w:lineRule="auto"/>
              <w:jc w:val="center"/>
              <w:rPr>
                <w:b/>
              </w:rPr>
            </w:pPr>
          </w:p>
          <w:p w14:paraId="36116A53" w14:textId="77777777" w:rsidR="00402F39" w:rsidRPr="00D543A3" w:rsidRDefault="00402F39" w:rsidP="00C62FF6">
            <w:pPr>
              <w:spacing w:after="0" w:line="240" w:lineRule="auto"/>
              <w:jc w:val="center"/>
              <w:rPr>
                <w:b/>
              </w:rPr>
            </w:pPr>
          </w:p>
          <w:p w14:paraId="5528C878" w14:textId="5A0200B5" w:rsidR="00402F39" w:rsidRPr="00432F15" w:rsidRDefault="00432F15" w:rsidP="00C62FF6">
            <w:pPr>
              <w:spacing w:after="0" w:line="240" w:lineRule="auto"/>
              <w:jc w:val="center"/>
              <w:rPr>
                <w:b/>
                <w:lang w:val="en-US"/>
              </w:rPr>
            </w:pPr>
            <w:r>
              <w:rPr>
                <w:b/>
                <w:lang w:val="en-US"/>
              </w:rPr>
              <w:t>(Đã ký)</w:t>
            </w:r>
          </w:p>
          <w:p w14:paraId="189F927E" w14:textId="77777777" w:rsidR="00402F39" w:rsidRPr="00D543A3" w:rsidRDefault="00402F39" w:rsidP="00C62FF6">
            <w:pPr>
              <w:spacing w:after="0" w:line="240" w:lineRule="auto"/>
              <w:jc w:val="center"/>
              <w:rPr>
                <w:b/>
              </w:rPr>
            </w:pPr>
          </w:p>
          <w:p w14:paraId="3CC398A8" w14:textId="77777777" w:rsidR="00402F39" w:rsidRPr="00D543A3" w:rsidRDefault="00402F39" w:rsidP="00C62FF6">
            <w:pPr>
              <w:spacing w:after="0" w:line="240" w:lineRule="auto"/>
              <w:jc w:val="center"/>
              <w:rPr>
                <w:b/>
              </w:rPr>
            </w:pPr>
          </w:p>
          <w:p w14:paraId="36C4374E" w14:textId="77777777" w:rsidR="00402F39" w:rsidRPr="00D543A3" w:rsidRDefault="00402F39" w:rsidP="00C62FF6">
            <w:pPr>
              <w:spacing w:after="0" w:line="240" w:lineRule="auto"/>
              <w:jc w:val="center"/>
              <w:rPr>
                <w:b/>
              </w:rPr>
            </w:pPr>
          </w:p>
          <w:p w14:paraId="208A6FBF" w14:textId="77777777" w:rsidR="00402F39" w:rsidRPr="00D543A3" w:rsidRDefault="00402F39" w:rsidP="00C62FF6">
            <w:pPr>
              <w:spacing w:after="0" w:line="240" w:lineRule="auto"/>
              <w:jc w:val="center"/>
              <w:rPr>
                <w:b/>
              </w:rPr>
            </w:pPr>
            <w:r w:rsidRPr="00D543A3">
              <w:rPr>
                <w:b/>
              </w:rPr>
              <w:t>Nguyễn Hải Ninh</w:t>
            </w:r>
          </w:p>
        </w:tc>
      </w:tr>
    </w:tbl>
    <w:p w14:paraId="31D2097A" w14:textId="77777777" w:rsidR="00402F39" w:rsidRPr="00D543A3" w:rsidRDefault="00402F39" w:rsidP="00C62FF6">
      <w:pPr>
        <w:jc w:val="both"/>
        <w:rPr>
          <w:lang w:val="fi-FI"/>
        </w:rPr>
      </w:pPr>
    </w:p>
    <w:p w14:paraId="2D552206" w14:textId="56DDABBB" w:rsidR="003D36A3" w:rsidRPr="00D543A3" w:rsidRDefault="003D36A3" w:rsidP="00C62FF6">
      <w:pPr>
        <w:jc w:val="both"/>
        <w:rPr>
          <w:spacing w:val="-2"/>
        </w:rPr>
      </w:pPr>
    </w:p>
    <w:sectPr w:rsidR="003D36A3" w:rsidRPr="00D543A3" w:rsidSect="006F129D">
      <w:headerReference w:type="default" r:id="rId9"/>
      <w:pgSz w:w="11907" w:h="16840" w:code="9"/>
      <w:pgMar w:top="1134" w:right="1134" w:bottom="1134" w:left="1701"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A3CA09" w16cex:dateUtc="2026-01-08T04:38:00Z"/>
  <w16cex:commentExtensible w16cex:durableId="57E1CA5D" w16cex:dateUtc="2026-01-08T04:41:00Z"/>
  <w16cex:commentExtensible w16cex:durableId="1FE842D6" w16cex:dateUtc="2026-01-08T04:43:00Z"/>
  <w16cex:commentExtensible w16cex:durableId="387DB79A" w16cex:dateUtc="2026-01-08T04:42: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E44FA6" w14:textId="77777777" w:rsidR="00AF0C39" w:rsidRDefault="00AF0C39" w:rsidP="000804CF">
      <w:pPr>
        <w:spacing w:after="0" w:line="240" w:lineRule="auto"/>
      </w:pPr>
      <w:r>
        <w:separator/>
      </w:r>
    </w:p>
  </w:endnote>
  <w:endnote w:type="continuationSeparator" w:id="0">
    <w:p w14:paraId="70EA704F" w14:textId="77777777" w:rsidR="00AF0C39" w:rsidRDefault="00AF0C39" w:rsidP="00080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BoldMT">
    <w:charset w:val="00"/>
    <w:family w:val="auto"/>
    <w:pitch w:val="default"/>
  </w:font>
  <w:font w:name="TimesNewRomanPSMT">
    <w:altName w:val="MS Gothic"/>
    <w:panose1 w:val="00000000000000000000"/>
    <w:charset w:val="00"/>
    <w:family w:val="roman"/>
    <w:notTrueType/>
    <w:pitch w:val="default"/>
  </w:font>
  <w:font w:name=".VnTimeH">
    <w:charset w:val="00"/>
    <w:family w:val="swiss"/>
    <w:pitch w:val="variable"/>
    <w:sig w:usb0="00000003" w:usb1="00000000" w:usb2="00000000" w:usb3="00000000" w:csb0="00000001" w:csb1="00000000"/>
  </w:font>
  <w:font w:name="MS ??">
    <w:altName w:val="MS Mincho"/>
    <w:panose1 w:val="00000000000000000000"/>
    <w:charset w:val="80"/>
    <w:family w:val="auto"/>
    <w:notTrueType/>
    <w:pitch w:val="variable"/>
    <w:sig w:usb0="00000000" w:usb1="08070000" w:usb2="00000010" w:usb3="00000000" w:csb0="00020000"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4C4C87" w14:textId="77777777" w:rsidR="00AF0C39" w:rsidRDefault="00AF0C39" w:rsidP="000804CF">
      <w:pPr>
        <w:spacing w:after="0" w:line="240" w:lineRule="auto"/>
      </w:pPr>
      <w:r>
        <w:separator/>
      </w:r>
    </w:p>
  </w:footnote>
  <w:footnote w:type="continuationSeparator" w:id="0">
    <w:p w14:paraId="0B659457" w14:textId="77777777" w:rsidR="00AF0C39" w:rsidRDefault="00AF0C39" w:rsidP="000804CF">
      <w:pPr>
        <w:spacing w:after="0" w:line="240" w:lineRule="auto"/>
      </w:pPr>
      <w:r>
        <w:continuationSeparator/>
      </w:r>
    </w:p>
  </w:footnote>
  <w:footnote w:id="1">
    <w:p w14:paraId="0410FF4E" w14:textId="77777777" w:rsidR="004F318B" w:rsidRDefault="004F318B" w:rsidP="00402F39">
      <w:pPr>
        <w:pStyle w:val="FootnoteText"/>
        <w:jc w:val="both"/>
      </w:pPr>
      <w:r>
        <w:rPr>
          <w:rStyle w:val="FootnoteReference"/>
        </w:rPr>
        <w:footnoteRef/>
      </w:r>
      <w:r>
        <w:t xml:space="preserve"> Từ ngày 01/01/2018 đến hết ngày 31/12/2024 có 43.938 vụ việc thành công (chiếm 31,5% tổng số vụ việc tham gia tố tụng).</w:t>
      </w:r>
    </w:p>
  </w:footnote>
  <w:footnote w:id="2">
    <w:p w14:paraId="1B1EF97A" w14:textId="77777777" w:rsidR="004F318B" w:rsidRDefault="004F318B" w:rsidP="00402F39">
      <w:pPr>
        <w:pStyle w:val="FootnoteText"/>
        <w:jc w:val="both"/>
      </w:pPr>
      <w:r>
        <w:rPr>
          <w:rStyle w:val="FootnoteReference"/>
        </w:rPr>
        <w:footnoteRef/>
      </w:r>
      <w:r>
        <w:t xml:space="preserve"> Chương trình mục tiêu quốc gia xây dựng nông thôn mới; Chương trình mục tiêu quốc gia giảm nghèo bền vững giai đoạn 2021 - 2025; Chương trình mục tiêu quốc gia phát triển kinh tế - xã hội vùng đồng bào dân tộc thiểu số và miền núi giai đoạn 2021 - 2030 (giai đoạn I 2021 - 2025); Chương trình mục tiêu quốc gia về phát triển văn hóa giai đoạn 2025 - 2035; Chương trình mục tiêu quốc gia phòng, chống ma túy đến năm 2030. Nội dung về TGPL cũng đã được ghi nhận trong Chương trình phòng, chống mua bán người giai đoạn 2021 - 2025 và định hướng đến năm 2030</w:t>
      </w:r>
    </w:p>
  </w:footnote>
  <w:footnote w:id="3">
    <w:p w14:paraId="0E558242" w14:textId="77777777" w:rsidR="004F318B" w:rsidRDefault="004F318B" w:rsidP="00402F39">
      <w:pPr>
        <w:pStyle w:val="FootnoteText"/>
        <w:jc w:val="both"/>
      </w:pPr>
      <w:r>
        <w:rPr>
          <w:rStyle w:val="FootnoteReference"/>
        </w:rPr>
        <w:footnoteRef/>
      </w:r>
      <w:r>
        <w:t xml:space="preserve"> Trong số 43.938 vụ việc thành công, trợ giúp viên pháp lý thực hiện 37.996 vụ việc thành công, chiếm 86% tổng số vụ việc thành công.</w:t>
      </w:r>
    </w:p>
  </w:footnote>
  <w:footnote w:id="4">
    <w:p w14:paraId="42F8FA60" w14:textId="77777777" w:rsidR="004F318B" w:rsidRPr="00C62FF6" w:rsidRDefault="004F318B" w:rsidP="00166256">
      <w:pPr>
        <w:pStyle w:val="FootnoteText"/>
      </w:pPr>
      <w:r w:rsidRPr="00C62FF6">
        <w:rPr>
          <w:rStyle w:val="FootnoteReference"/>
        </w:rPr>
        <w:footnoteRef/>
      </w:r>
      <w:r w:rsidRPr="00C62FF6">
        <w:t xml:space="preserve"> </w:t>
      </w:r>
      <w:r w:rsidRPr="00C62FF6">
        <w:rPr>
          <w:spacing w:val="-2"/>
          <w:lang w:val="hr-HR"/>
        </w:rPr>
        <w:t>Báo cáo số 704/BC-BTP ngày 25/11/2025 của Bộ Tư pháp về việc Tổng kết thi hành Luật TGPL.</w:t>
      </w:r>
    </w:p>
  </w:footnote>
  <w:footnote w:id="5">
    <w:p w14:paraId="085F8E45" w14:textId="77777777" w:rsidR="00F56CBB" w:rsidRPr="00E136AC" w:rsidRDefault="00F56CBB" w:rsidP="00F56CBB">
      <w:pPr>
        <w:pStyle w:val="FootnoteText"/>
        <w:rPr>
          <w:sz w:val="22"/>
          <w:szCs w:val="22"/>
        </w:rPr>
      </w:pPr>
      <w:r w:rsidRPr="00E136AC">
        <w:rPr>
          <w:rStyle w:val="FootnoteReference"/>
          <w:sz w:val="22"/>
          <w:szCs w:val="22"/>
        </w:rPr>
        <w:footnoteRef/>
      </w:r>
      <w:r w:rsidRPr="00E136AC">
        <w:rPr>
          <w:sz w:val="22"/>
          <w:szCs w:val="22"/>
        </w:rPr>
        <w:t xml:space="preserve"> Theo Công văn số 7149/BTP-PB&amp;TG ngày 07/11/2025 của Bộ Tư pháp.</w:t>
      </w:r>
    </w:p>
  </w:footnote>
  <w:footnote w:id="6">
    <w:p w14:paraId="6690CED4" w14:textId="77777777" w:rsidR="004F318B" w:rsidRDefault="004F318B" w:rsidP="009A3173">
      <w:pPr>
        <w:pStyle w:val="FootnoteText"/>
        <w:jc w:val="both"/>
      </w:pPr>
      <w:r>
        <w:rPr>
          <w:rStyle w:val="FootnoteReference"/>
        </w:rPr>
        <w:footnoteRef/>
      </w:r>
      <w:r>
        <w:t xml:space="preserve"> Số thân nhân người có công với cách mạng khoảng 500.000 người; ước tính 40% số này có khó khăn về tài chính (200.000 người). Do đó số thân nhân người có công tăng lên là: 300.000 người.</w:t>
      </w:r>
    </w:p>
    <w:p w14:paraId="5C5B89B9" w14:textId="77777777" w:rsidR="004F318B" w:rsidRDefault="004F318B" w:rsidP="009A3173">
      <w:pPr>
        <w:pStyle w:val="FootnoteText"/>
        <w:jc w:val="both"/>
      </w:pPr>
      <w:r>
        <w:t xml:space="preserve">- Theo Báo cáo của Hiệp hội nạn nhân chất độc da cam/dioxin Việt Nam lần thứ V năm 2023, số người nhiễm chất độc màu da cam là 4,8 triệu người; trong đó 70% có hoàn cảnh khó khăn. Ước tính người bị nhiễm chất độc da cam có khó khăn về tài chính là 3.360.000 người. Vì vây, ước tính số người nhiễm chất độc da cam tăng lên là 1.44 triệu người. </w:t>
      </w:r>
    </w:p>
    <w:p w14:paraId="3EBF532D" w14:textId="0149E8DC" w:rsidR="004F318B" w:rsidRDefault="004F318B" w:rsidP="009A3173">
      <w:pPr>
        <w:pStyle w:val="FootnoteText"/>
        <w:jc w:val="both"/>
      </w:pPr>
      <w:r>
        <w:t>- Theo báo cáo của Ủy ban quốc gia về Người khuyết tật, hiện có khoảng 8 triệu người khuyết tật. Trong đó có khoảng 2 triệu trẻ em khuyết tật, 1.7 triệu người khuyết t</w:t>
      </w:r>
      <w:r w:rsidR="00A43E9B">
        <w:t>ật</w:t>
      </w:r>
      <w:r>
        <w:t xml:space="preserve"> nặng và đặc biệt nặng; 800 nghìn người khuyết tật thuộc hộ nghèo và cận nghèo. Do đó, số người khuyết tật tăng thêm so với Luật hiện nay là 3.5 triệu người. </w:t>
      </w:r>
    </w:p>
  </w:footnote>
  <w:footnote w:id="7">
    <w:p w14:paraId="4CE6BE70" w14:textId="77777777" w:rsidR="004F318B" w:rsidRDefault="004F318B" w:rsidP="009A3173">
      <w:pPr>
        <w:pStyle w:val="FootnoteText"/>
      </w:pPr>
      <w:r>
        <w:rPr>
          <w:rStyle w:val="FootnoteReference"/>
        </w:rPr>
        <w:footnoteRef/>
      </w:r>
      <w:r>
        <w:t xml:space="preserve"> Pháp lệnh Ưu đãi người có công với cách mạng, Luật Người khuyết tật. </w:t>
      </w:r>
    </w:p>
  </w:footnote>
  <w:footnote w:id="8">
    <w:p w14:paraId="4B24A767" w14:textId="77777777" w:rsidR="004F318B" w:rsidRDefault="004F318B" w:rsidP="009A3173">
      <w:pPr>
        <w:pStyle w:val="FootnoteText"/>
      </w:pPr>
      <w:r>
        <w:rPr>
          <w:rStyle w:val="FootnoteReference"/>
        </w:rPr>
        <w:footnoteRef/>
      </w:r>
      <w:r>
        <w:t xml:space="preserve"> Công ước của Liên Hợp quốc về quyền của người khuyết tật quy định: “Các quốc gia thành viên tiến hành mọi biện pháp cần thiết để giúp người khuyết tật tiếp cận với sự trợ giúp mà họ có thể cần đến khi thực hiện năng lực pháp lý của mình” (khoản 3 Điều 12).</w:t>
      </w:r>
    </w:p>
  </w:footnote>
  <w:footnote w:id="9">
    <w:p w14:paraId="5836F6A7" w14:textId="28A0027E" w:rsidR="004F318B" w:rsidRDefault="004F318B" w:rsidP="009A3173">
      <w:pPr>
        <w:pStyle w:val="FootnoteText"/>
      </w:pPr>
      <w:r>
        <w:rPr>
          <w:rStyle w:val="FootnoteReference"/>
        </w:rPr>
        <w:footnoteRef/>
      </w:r>
      <w:r>
        <w:t xml:space="preserve"> </w:t>
      </w:r>
      <w:r w:rsidR="00A43E9B">
        <w:t>Thông báo số 444-TB/VPTW ngày 05/12/2025 của Văn phòng Trung ương Đảng</w:t>
      </w:r>
    </w:p>
  </w:footnote>
  <w:footnote w:id="10">
    <w:p w14:paraId="4FA15582" w14:textId="77777777" w:rsidR="004F318B" w:rsidRDefault="004F318B" w:rsidP="009A3173">
      <w:pPr>
        <w:pStyle w:val="FootnoteText"/>
      </w:pPr>
      <w:r>
        <w:rPr>
          <w:rStyle w:val="FootnoteReference"/>
        </w:rPr>
        <w:footnoteRef/>
      </w:r>
      <w:r>
        <w:t xml:space="preserve"> Theo báo cáo của các địa phương, hiện tại có 22 cộng tác viên TGPL.</w:t>
      </w:r>
    </w:p>
  </w:footnote>
  <w:footnote w:id="11">
    <w:p w14:paraId="7B5A4B31" w14:textId="77777777" w:rsidR="004F318B" w:rsidRPr="00BF13CE" w:rsidRDefault="004F318B" w:rsidP="00402F39">
      <w:pPr>
        <w:pStyle w:val="FootnoteText"/>
      </w:pPr>
      <w:r>
        <w:rPr>
          <w:rStyle w:val="FootnoteReference"/>
        </w:rPr>
        <w:footnoteRef/>
      </w:r>
      <w:r>
        <w:t xml:space="preserve"> Khoản 1 Điều 6 Luật Điều ước quốc tế năm 2016 quy định: “Trường hợp văn bản quy phạm pháp luật và điều ước quốc tế mà nước Cộng hòa xã hội chủ nghĩa Việt Nam là thành viên có quy định khác nhau về cùng một vấn đề thì áp dụng quy định của điều ước quốc tế đó, trừ </w:t>
      </w:r>
      <w:hyperlink r:id="rId1" w:tgtFrame="_blank" w:history="1">
        <w:r w:rsidRPr="00D66A04">
          <w:rPr>
            <w:rStyle w:val="Hyperlink"/>
            <w:color w:val="auto"/>
            <w:u w:val="none"/>
          </w:rPr>
          <w:t>Hiến pháp</w:t>
        </w:r>
      </w:hyperlink>
      <w:r w:rsidRPr="00BF13CE">
        <w:t>”.</w:t>
      </w:r>
    </w:p>
  </w:footnote>
  <w:footnote w:id="12">
    <w:p w14:paraId="52039760" w14:textId="77777777" w:rsidR="004F318B" w:rsidRPr="00BD5CE5" w:rsidRDefault="004F318B" w:rsidP="00402F39">
      <w:pPr>
        <w:pStyle w:val="FootnoteText"/>
      </w:pPr>
      <w:r>
        <w:rPr>
          <w:rStyle w:val="FootnoteReference"/>
        </w:rPr>
        <w:footnoteRef/>
      </w:r>
      <w:r>
        <w:t xml:space="preserve"> </w:t>
      </w:r>
      <w:r w:rsidRPr="00EB5B35">
        <w:t>Luật TGPL năm 2017 quy định cộng tác viên chỉ được thực hiện tư vấn pháp luật.</w:t>
      </w:r>
    </w:p>
  </w:footnote>
  <w:footnote w:id="13">
    <w:p w14:paraId="17CD9F3F" w14:textId="77777777" w:rsidR="004F318B" w:rsidRDefault="004F318B" w:rsidP="00402F39">
      <w:pPr>
        <w:pStyle w:val="FootnoteText"/>
      </w:pPr>
      <w:r>
        <w:rPr>
          <w:rStyle w:val="FootnoteReference"/>
        </w:rPr>
        <w:footnoteRef/>
      </w:r>
      <w:r>
        <w:t xml:space="preserve"> Nghị quyết số 245/2025/QH15 ngày 13/11/2025 về dự toán ngân sách nhà nước năm 2026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CF47D" w14:textId="4AB44B1E" w:rsidR="004F318B" w:rsidRDefault="004F318B" w:rsidP="0078490C">
    <w:pPr>
      <w:pStyle w:val="Header"/>
      <w:spacing w:after="120"/>
      <w:jc w:val="center"/>
    </w:pPr>
    <w:r>
      <w:fldChar w:fldCharType="begin"/>
    </w:r>
    <w:r>
      <w:instrText xml:space="preserve"> PAGE   \* MERGEFORMAT </w:instrText>
    </w:r>
    <w:r>
      <w:fldChar w:fldCharType="separate"/>
    </w:r>
    <w:r w:rsidR="00F77854">
      <w:rPr>
        <w:noProof/>
      </w:rPr>
      <w:t>14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85B"/>
    <w:multiLevelType w:val="hybridMultilevel"/>
    <w:tmpl w:val="BD62DEB8"/>
    <w:lvl w:ilvl="0" w:tplc="02F262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806737C"/>
    <w:multiLevelType w:val="hybridMultilevel"/>
    <w:tmpl w:val="7CF8C50E"/>
    <w:lvl w:ilvl="0" w:tplc="A38A6672">
      <w:start w:val="1"/>
      <w:numFmt w:val="upperRoman"/>
      <w:lvlText w:val="%1."/>
      <w:lvlJc w:val="left"/>
      <w:pPr>
        <w:ind w:left="1287" w:hanging="720"/>
      </w:pPr>
      <w:rPr>
        <w:rFonts w:ascii="Times New Roman Bold" w:hAnsi="Times New Roman Bold"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435251CB"/>
    <w:multiLevelType w:val="hybridMultilevel"/>
    <w:tmpl w:val="0F52201C"/>
    <w:lvl w:ilvl="0" w:tplc="C8D66AD0">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4F448C"/>
    <w:multiLevelType w:val="hybridMultilevel"/>
    <w:tmpl w:val="EDB611C6"/>
    <w:lvl w:ilvl="0" w:tplc="1026E3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4F437D"/>
    <w:multiLevelType w:val="hybridMultilevel"/>
    <w:tmpl w:val="20104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A3A"/>
    <w:rsid w:val="000012DB"/>
    <w:rsid w:val="00001745"/>
    <w:rsid w:val="00002715"/>
    <w:rsid w:val="00004CB2"/>
    <w:rsid w:val="00004EA3"/>
    <w:rsid w:val="0000606D"/>
    <w:rsid w:val="00006538"/>
    <w:rsid w:val="000119FE"/>
    <w:rsid w:val="00012C1A"/>
    <w:rsid w:val="000147AD"/>
    <w:rsid w:val="000159DA"/>
    <w:rsid w:val="00015A8A"/>
    <w:rsid w:val="00015FFC"/>
    <w:rsid w:val="00016A1A"/>
    <w:rsid w:val="00020872"/>
    <w:rsid w:val="00023193"/>
    <w:rsid w:val="00023B80"/>
    <w:rsid w:val="000248B3"/>
    <w:rsid w:val="00027D3A"/>
    <w:rsid w:val="00027D53"/>
    <w:rsid w:val="00027EAA"/>
    <w:rsid w:val="00031662"/>
    <w:rsid w:val="000319E2"/>
    <w:rsid w:val="000322D5"/>
    <w:rsid w:val="00034114"/>
    <w:rsid w:val="00036402"/>
    <w:rsid w:val="00037254"/>
    <w:rsid w:val="00040CE3"/>
    <w:rsid w:val="00041BBB"/>
    <w:rsid w:val="00042DD1"/>
    <w:rsid w:val="00047BE2"/>
    <w:rsid w:val="00051E3C"/>
    <w:rsid w:val="000542BF"/>
    <w:rsid w:val="00054F30"/>
    <w:rsid w:val="000553BB"/>
    <w:rsid w:val="00061720"/>
    <w:rsid w:val="0006491E"/>
    <w:rsid w:val="00065DAB"/>
    <w:rsid w:val="00071B5B"/>
    <w:rsid w:val="00071C44"/>
    <w:rsid w:val="00071D0C"/>
    <w:rsid w:val="000733F0"/>
    <w:rsid w:val="000736AE"/>
    <w:rsid w:val="0007736E"/>
    <w:rsid w:val="000804CF"/>
    <w:rsid w:val="000823E7"/>
    <w:rsid w:val="00085E9E"/>
    <w:rsid w:val="0009410C"/>
    <w:rsid w:val="000945E3"/>
    <w:rsid w:val="00094A1A"/>
    <w:rsid w:val="00097668"/>
    <w:rsid w:val="000A0B47"/>
    <w:rsid w:val="000A1707"/>
    <w:rsid w:val="000A1A55"/>
    <w:rsid w:val="000A50DF"/>
    <w:rsid w:val="000A6C4E"/>
    <w:rsid w:val="000A6EEF"/>
    <w:rsid w:val="000A7668"/>
    <w:rsid w:val="000A7945"/>
    <w:rsid w:val="000B0CDF"/>
    <w:rsid w:val="000B3F7B"/>
    <w:rsid w:val="000B52D1"/>
    <w:rsid w:val="000B5FD5"/>
    <w:rsid w:val="000C0D43"/>
    <w:rsid w:val="000C1768"/>
    <w:rsid w:val="000C1AD2"/>
    <w:rsid w:val="000C3BBA"/>
    <w:rsid w:val="000C45F2"/>
    <w:rsid w:val="000C49FD"/>
    <w:rsid w:val="000C4B98"/>
    <w:rsid w:val="000C55CE"/>
    <w:rsid w:val="000C7690"/>
    <w:rsid w:val="000D0C6F"/>
    <w:rsid w:val="000D2A06"/>
    <w:rsid w:val="000D3490"/>
    <w:rsid w:val="000D49D3"/>
    <w:rsid w:val="000D561F"/>
    <w:rsid w:val="000D57A4"/>
    <w:rsid w:val="000D6355"/>
    <w:rsid w:val="000D6775"/>
    <w:rsid w:val="000D6A5D"/>
    <w:rsid w:val="000D7A1A"/>
    <w:rsid w:val="000E0527"/>
    <w:rsid w:val="000E1298"/>
    <w:rsid w:val="000E1791"/>
    <w:rsid w:val="000E19B4"/>
    <w:rsid w:val="000E2CAC"/>
    <w:rsid w:val="000E5C54"/>
    <w:rsid w:val="000E6F28"/>
    <w:rsid w:val="000E7320"/>
    <w:rsid w:val="000F0882"/>
    <w:rsid w:val="000F27D5"/>
    <w:rsid w:val="000F40FD"/>
    <w:rsid w:val="000F59AD"/>
    <w:rsid w:val="000F60D2"/>
    <w:rsid w:val="000F66D6"/>
    <w:rsid w:val="000F7AD9"/>
    <w:rsid w:val="00100E31"/>
    <w:rsid w:val="00104878"/>
    <w:rsid w:val="001050E3"/>
    <w:rsid w:val="0010524F"/>
    <w:rsid w:val="00105607"/>
    <w:rsid w:val="00106A14"/>
    <w:rsid w:val="0010701E"/>
    <w:rsid w:val="001111E9"/>
    <w:rsid w:val="001138A7"/>
    <w:rsid w:val="00115DB3"/>
    <w:rsid w:val="00120B26"/>
    <w:rsid w:val="00123289"/>
    <w:rsid w:val="001234F2"/>
    <w:rsid w:val="00124BAA"/>
    <w:rsid w:val="00125558"/>
    <w:rsid w:val="00126A25"/>
    <w:rsid w:val="00130334"/>
    <w:rsid w:val="00131A21"/>
    <w:rsid w:val="00132FA9"/>
    <w:rsid w:val="00133653"/>
    <w:rsid w:val="00133F66"/>
    <w:rsid w:val="00135C24"/>
    <w:rsid w:val="00136D66"/>
    <w:rsid w:val="001435A9"/>
    <w:rsid w:val="001446D2"/>
    <w:rsid w:val="00145377"/>
    <w:rsid w:val="001529F7"/>
    <w:rsid w:val="00154291"/>
    <w:rsid w:val="00154ACD"/>
    <w:rsid w:val="00155381"/>
    <w:rsid w:val="00160B0F"/>
    <w:rsid w:val="001636A1"/>
    <w:rsid w:val="00164CF5"/>
    <w:rsid w:val="0016584B"/>
    <w:rsid w:val="00166256"/>
    <w:rsid w:val="0016753D"/>
    <w:rsid w:val="001727CF"/>
    <w:rsid w:val="001736FB"/>
    <w:rsid w:val="00174F6A"/>
    <w:rsid w:val="00175746"/>
    <w:rsid w:val="00182594"/>
    <w:rsid w:val="001832E6"/>
    <w:rsid w:val="00184118"/>
    <w:rsid w:val="00184158"/>
    <w:rsid w:val="0018489E"/>
    <w:rsid w:val="00185628"/>
    <w:rsid w:val="00185E0F"/>
    <w:rsid w:val="00185F61"/>
    <w:rsid w:val="00187488"/>
    <w:rsid w:val="00190EF4"/>
    <w:rsid w:val="001923E6"/>
    <w:rsid w:val="00192CA7"/>
    <w:rsid w:val="00193965"/>
    <w:rsid w:val="00195508"/>
    <w:rsid w:val="001A00B9"/>
    <w:rsid w:val="001A211C"/>
    <w:rsid w:val="001A4469"/>
    <w:rsid w:val="001A533A"/>
    <w:rsid w:val="001A56A2"/>
    <w:rsid w:val="001A5D1D"/>
    <w:rsid w:val="001A60B1"/>
    <w:rsid w:val="001B2CEF"/>
    <w:rsid w:val="001B7283"/>
    <w:rsid w:val="001C2D10"/>
    <w:rsid w:val="001C2F70"/>
    <w:rsid w:val="001D13E9"/>
    <w:rsid w:val="001D1502"/>
    <w:rsid w:val="001D26E1"/>
    <w:rsid w:val="001D36E8"/>
    <w:rsid w:val="001D3C14"/>
    <w:rsid w:val="001D5369"/>
    <w:rsid w:val="001D549C"/>
    <w:rsid w:val="001E00BA"/>
    <w:rsid w:val="001E00DA"/>
    <w:rsid w:val="001E05C7"/>
    <w:rsid w:val="001E0740"/>
    <w:rsid w:val="001E0955"/>
    <w:rsid w:val="001E0C32"/>
    <w:rsid w:val="001E0F1B"/>
    <w:rsid w:val="001E2411"/>
    <w:rsid w:val="001E3F58"/>
    <w:rsid w:val="001E4A8C"/>
    <w:rsid w:val="001E596B"/>
    <w:rsid w:val="001E653D"/>
    <w:rsid w:val="001E72BC"/>
    <w:rsid w:val="001E7AFA"/>
    <w:rsid w:val="001F1A72"/>
    <w:rsid w:val="001F1F26"/>
    <w:rsid w:val="001F2056"/>
    <w:rsid w:val="001F3234"/>
    <w:rsid w:val="001F3DFF"/>
    <w:rsid w:val="001F5621"/>
    <w:rsid w:val="001F6BBD"/>
    <w:rsid w:val="001F6F06"/>
    <w:rsid w:val="001F74ED"/>
    <w:rsid w:val="001F7E7A"/>
    <w:rsid w:val="002006BD"/>
    <w:rsid w:val="0020116D"/>
    <w:rsid w:val="00201718"/>
    <w:rsid w:val="002023DB"/>
    <w:rsid w:val="00202A2C"/>
    <w:rsid w:val="0020402E"/>
    <w:rsid w:val="00205E8A"/>
    <w:rsid w:val="00207AD7"/>
    <w:rsid w:val="00213C08"/>
    <w:rsid w:val="00220850"/>
    <w:rsid w:val="00222747"/>
    <w:rsid w:val="00226BDD"/>
    <w:rsid w:val="0023030B"/>
    <w:rsid w:val="00232115"/>
    <w:rsid w:val="00233455"/>
    <w:rsid w:val="002352DE"/>
    <w:rsid w:val="00236FDE"/>
    <w:rsid w:val="00237276"/>
    <w:rsid w:val="0024096F"/>
    <w:rsid w:val="00244AEE"/>
    <w:rsid w:val="002532A4"/>
    <w:rsid w:val="002552DC"/>
    <w:rsid w:val="0025593A"/>
    <w:rsid w:val="002562D5"/>
    <w:rsid w:val="00256C51"/>
    <w:rsid w:val="00260DC0"/>
    <w:rsid w:val="002638F5"/>
    <w:rsid w:val="002647A5"/>
    <w:rsid w:val="00264827"/>
    <w:rsid w:val="002653A2"/>
    <w:rsid w:val="00265A24"/>
    <w:rsid w:val="002674F6"/>
    <w:rsid w:val="00271106"/>
    <w:rsid w:val="002715E0"/>
    <w:rsid w:val="00271D3D"/>
    <w:rsid w:val="00277008"/>
    <w:rsid w:val="0027730C"/>
    <w:rsid w:val="002774B5"/>
    <w:rsid w:val="0028001F"/>
    <w:rsid w:val="00281717"/>
    <w:rsid w:val="00281D17"/>
    <w:rsid w:val="00283103"/>
    <w:rsid w:val="00283115"/>
    <w:rsid w:val="00285C86"/>
    <w:rsid w:val="0028638D"/>
    <w:rsid w:val="00286F2C"/>
    <w:rsid w:val="00291A28"/>
    <w:rsid w:val="00296F4F"/>
    <w:rsid w:val="00297FFB"/>
    <w:rsid w:val="002A3584"/>
    <w:rsid w:val="002A359C"/>
    <w:rsid w:val="002A4E29"/>
    <w:rsid w:val="002A6858"/>
    <w:rsid w:val="002A7895"/>
    <w:rsid w:val="002B20EB"/>
    <w:rsid w:val="002B21E3"/>
    <w:rsid w:val="002B4BBB"/>
    <w:rsid w:val="002B71A9"/>
    <w:rsid w:val="002C10C8"/>
    <w:rsid w:val="002C18F0"/>
    <w:rsid w:val="002C2D64"/>
    <w:rsid w:val="002C42D7"/>
    <w:rsid w:val="002C5A69"/>
    <w:rsid w:val="002D1DAE"/>
    <w:rsid w:val="002D1F81"/>
    <w:rsid w:val="002D254F"/>
    <w:rsid w:val="002D5BBD"/>
    <w:rsid w:val="002D762D"/>
    <w:rsid w:val="002E3D00"/>
    <w:rsid w:val="002E3F64"/>
    <w:rsid w:val="002E616A"/>
    <w:rsid w:val="002F3FCA"/>
    <w:rsid w:val="002F4214"/>
    <w:rsid w:val="002F5A15"/>
    <w:rsid w:val="002F6B52"/>
    <w:rsid w:val="00300B50"/>
    <w:rsid w:val="0030102A"/>
    <w:rsid w:val="003016D1"/>
    <w:rsid w:val="00302E09"/>
    <w:rsid w:val="00303788"/>
    <w:rsid w:val="003044EB"/>
    <w:rsid w:val="003051F9"/>
    <w:rsid w:val="00305C74"/>
    <w:rsid w:val="003076CD"/>
    <w:rsid w:val="0031008B"/>
    <w:rsid w:val="003117E4"/>
    <w:rsid w:val="00312136"/>
    <w:rsid w:val="00312C2F"/>
    <w:rsid w:val="003149A0"/>
    <w:rsid w:val="00316DBE"/>
    <w:rsid w:val="0032137B"/>
    <w:rsid w:val="00323099"/>
    <w:rsid w:val="003246CE"/>
    <w:rsid w:val="0032604C"/>
    <w:rsid w:val="00330C5E"/>
    <w:rsid w:val="00330DBC"/>
    <w:rsid w:val="00331993"/>
    <w:rsid w:val="00333F90"/>
    <w:rsid w:val="00334C9B"/>
    <w:rsid w:val="00340F1D"/>
    <w:rsid w:val="003438CA"/>
    <w:rsid w:val="00344497"/>
    <w:rsid w:val="003455D6"/>
    <w:rsid w:val="003463C0"/>
    <w:rsid w:val="00347246"/>
    <w:rsid w:val="00350F3B"/>
    <w:rsid w:val="00355688"/>
    <w:rsid w:val="00356E5E"/>
    <w:rsid w:val="00356FFB"/>
    <w:rsid w:val="00361A58"/>
    <w:rsid w:val="00363934"/>
    <w:rsid w:val="00363C3A"/>
    <w:rsid w:val="00365A42"/>
    <w:rsid w:val="00365DA9"/>
    <w:rsid w:val="00372972"/>
    <w:rsid w:val="0037475B"/>
    <w:rsid w:val="00381DE9"/>
    <w:rsid w:val="0038252D"/>
    <w:rsid w:val="003833ED"/>
    <w:rsid w:val="003842B1"/>
    <w:rsid w:val="003901AC"/>
    <w:rsid w:val="00390534"/>
    <w:rsid w:val="003917AA"/>
    <w:rsid w:val="00391C1A"/>
    <w:rsid w:val="00396D11"/>
    <w:rsid w:val="003A06EA"/>
    <w:rsid w:val="003A2125"/>
    <w:rsid w:val="003A5A11"/>
    <w:rsid w:val="003B06FD"/>
    <w:rsid w:val="003B2F29"/>
    <w:rsid w:val="003B62BF"/>
    <w:rsid w:val="003B6C1C"/>
    <w:rsid w:val="003B713A"/>
    <w:rsid w:val="003B7D9F"/>
    <w:rsid w:val="003C0F5D"/>
    <w:rsid w:val="003C4078"/>
    <w:rsid w:val="003C52E5"/>
    <w:rsid w:val="003C55F4"/>
    <w:rsid w:val="003C5EAB"/>
    <w:rsid w:val="003C75A5"/>
    <w:rsid w:val="003D24D7"/>
    <w:rsid w:val="003D30A7"/>
    <w:rsid w:val="003D3447"/>
    <w:rsid w:val="003D36A3"/>
    <w:rsid w:val="003D586D"/>
    <w:rsid w:val="003D7092"/>
    <w:rsid w:val="003D7710"/>
    <w:rsid w:val="003E0EA8"/>
    <w:rsid w:val="003E18DE"/>
    <w:rsid w:val="003E1D7D"/>
    <w:rsid w:val="003E20DE"/>
    <w:rsid w:val="003E3857"/>
    <w:rsid w:val="003E41BE"/>
    <w:rsid w:val="003E48AC"/>
    <w:rsid w:val="003E6A6F"/>
    <w:rsid w:val="003E7200"/>
    <w:rsid w:val="003E732D"/>
    <w:rsid w:val="003F010D"/>
    <w:rsid w:val="003F18B1"/>
    <w:rsid w:val="003F28FA"/>
    <w:rsid w:val="003F3D10"/>
    <w:rsid w:val="003F797C"/>
    <w:rsid w:val="00401045"/>
    <w:rsid w:val="00402414"/>
    <w:rsid w:val="00402476"/>
    <w:rsid w:val="00402F39"/>
    <w:rsid w:val="00403E55"/>
    <w:rsid w:val="00403FD5"/>
    <w:rsid w:val="0040404C"/>
    <w:rsid w:val="00406FE5"/>
    <w:rsid w:val="0041070A"/>
    <w:rsid w:val="004115EA"/>
    <w:rsid w:val="00411B84"/>
    <w:rsid w:val="00411D8C"/>
    <w:rsid w:val="004131BD"/>
    <w:rsid w:val="00414CDF"/>
    <w:rsid w:val="004203AB"/>
    <w:rsid w:val="004213C9"/>
    <w:rsid w:val="00421ABD"/>
    <w:rsid w:val="00422A25"/>
    <w:rsid w:val="004233C8"/>
    <w:rsid w:val="00425178"/>
    <w:rsid w:val="00427F69"/>
    <w:rsid w:val="004301F8"/>
    <w:rsid w:val="00431B41"/>
    <w:rsid w:val="00432918"/>
    <w:rsid w:val="00432F15"/>
    <w:rsid w:val="00433286"/>
    <w:rsid w:val="004361AE"/>
    <w:rsid w:val="0043760D"/>
    <w:rsid w:val="004430DC"/>
    <w:rsid w:val="00443670"/>
    <w:rsid w:val="004445CE"/>
    <w:rsid w:val="00444866"/>
    <w:rsid w:val="00446C30"/>
    <w:rsid w:val="00447C8A"/>
    <w:rsid w:val="00447FB8"/>
    <w:rsid w:val="004502E7"/>
    <w:rsid w:val="00451824"/>
    <w:rsid w:val="00451983"/>
    <w:rsid w:val="0045399F"/>
    <w:rsid w:val="00454525"/>
    <w:rsid w:val="00455EA9"/>
    <w:rsid w:val="00460F81"/>
    <w:rsid w:val="00461FF1"/>
    <w:rsid w:val="00462367"/>
    <w:rsid w:val="00462FB9"/>
    <w:rsid w:val="00464C87"/>
    <w:rsid w:val="00465B35"/>
    <w:rsid w:val="004665FF"/>
    <w:rsid w:val="00467375"/>
    <w:rsid w:val="004701DF"/>
    <w:rsid w:val="00470D3A"/>
    <w:rsid w:val="0047437F"/>
    <w:rsid w:val="0047507E"/>
    <w:rsid w:val="00477638"/>
    <w:rsid w:val="00482336"/>
    <w:rsid w:val="0048268F"/>
    <w:rsid w:val="00485B9C"/>
    <w:rsid w:val="00493BE9"/>
    <w:rsid w:val="00496706"/>
    <w:rsid w:val="00496FE5"/>
    <w:rsid w:val="004979C5"/>
    <w:rsid w:val="004A1054"/>
    <w:rsid w:val="004A2C80"/>
    <w:rsid w:val="004A42B2"/>
    <w:rsid w:val="004A4E97"/>
    <w:rsid w:val="004A5A69"/>
    <w:rsid w:val="004B2859"/>
    <w:rsid w:val="004B4A39"/>
    <w:rsid w:val="004B5756"/>
    <w:rsid w:val="004B69EA"/>
    <w:rsid w:val="004B76B1"/>
    <w:rsid w:val="004C1633"/>
    <w:rsid w:val="004C2AC7"/>
    <w:rsid w:val="004C3AEB"/>
    <w:rsid w:val="004C6B60"/>
    <w:rsid w:val="004D0597"/>
    <w:rsid w:val="004D1BFC"/>
    <w:rsid w:val="004D2940"/>
    <w:rsid w:val="004D2D2C"/>
    <w:rsid w:val="004D4A07"/>
    <w:rsid w:val="004D794B"/>
    <w:rsid w:val="004E069B"/>
    <w:rsid w:val="004E1FF4"/>
    <w:rsid w:val="004E35D6"/>
    <w:rsid w:val="004E3C7C"/>
    <w:rsid w:val="004E6289"/>
    <w:rsid w:val="004E6D48"/>
    <w:rsid w:val="004F13D3"/>
    <w:rsid w:val="004F2BC0"/>
    <w:rsid w:val="004F2F44"/>
    <w:rsid w:val="004F318B"/>
    <w:rsid w:val="004F71F7"/>
    <w:rsid w:val="005000E3"/>
    <w:rsid w:val="00500D62"/>
    <w:rsid w:val="00501E61"/>
    <w:rsid w:val="0050315A"/>
    <w:rsid w:val="005034BF"/>
    <w:rsid w:val="005035B6"/>
    <w:rsid w:val="00504EFD"/>
    <w:rsid w:val="00506E15"/>
    <w:rsid w:val="0051017A"/>
    <w:rsid w:val="00510C08"/>
    <w:rsid w:val="00511C29"/>
    <w:rsid w:val="005132F1"/>
    <w:rsid w:val="00513483"/>
    <w:rsid w:val="00513782"/>
    <w:rsid w:val="00513929"/>
    <w:rsid w:val="00513FEB"/>
    <w:rsid w:val="00514B9A"/>
    <w:rsid w:val="00514DD8"/>
    <w:rsid w:val="00516CFF"/>
    <w:rsid w:val="00517B5F"/>
    <w:rsid w:val="005204E3"/>
    <w:rsid w:val="00521035"/>
    <w:rsid w:val="0052254A"/>
    <w:rsid w:val="00524072"/>
    <w:rsid w:val="005243EF"/>
    <w:rsid w:val="00524403"/>
    <w:rsid w:val="0052565E"/>
    <w:rsid w:val="0052676E"/>
    <w:rsid w:val="005302DA"/>
    <w:rsid w:val="005309CD"/>
    <w:rsid w:val="00530D82"/>
    <w:rsid w:val="00531E9D"/>
    <w:rsid w:val="005320A8"/>
    <w:rsid w:val="00533951"/>
    <w:rsid w:val="00534445"/>
    <w:rsid w:val="005359BA"/>
    <w:rsid w:val="005409CA"/>
    <w:rsid w:val="0054292A"/>
    <w:rsid w:val="0054355D"/>
    <w:rsid w:val="005438F2"/>
    <w:rsid w:val="005448F5"/>
    <w:rsid w:val="00545346"/>
    <w:rsid w:val="00545C99"/>
    <w:rsid w:val="005465FA"/>
    <w:rsid w:val="00550589"/>
    <w:rsid w:val="00552528"/>
    <w:rsid w:val="00555625"/>
    <w:rsid w:val="0055753D"/>
    <w:rsid w:val="00560BAF"/>
    <w:rsid w:val="00560BC7"/>
    <w:rsid w:val="00562F5F"/>
    <w:rsid w:val="00563321"/>
    <w:rsid w:val="00563770"/>
    <w:rsid w:val="005637D1"/>
    <w:rsid w:val="00564A85"/>
    <w:rsid w:val="00566E2A"/>
    <w:rsid w:val="00567BAA"/>
    <w:rsid w:val="00571134"/>
    <w:rsid w:val="00577466"/>
    <w:rsid w:val="00582E56"/>
    <w:rsid w:val="00583BF9"/>
    <w:rsid w:val="005856B7"/>
    <w:rsid w:val="00585D35"/>
    <w:rsid w:val="005876F2"/>
    <w:rsid w:val="00587D74"/>
    <w:rsid w:val="00591087"/>
    <w:rsid w:val="00591264"/>
    <w:rsid w:val="00593443"/>
    <w:rsid w:val="005942C0"/>
    <w:rsid w:val="005964E1"/>
    <w:rsid w:val="005A08F0"/>
    <w:rsid w:val="005A29F1"/>
    <w:rsid w:val="005A3295"/>
    <w:rsid w:val="005A70F0"/>
    <w:rsid w:val="005A7E6B"/>
    <w:rsid w:val="005B3651"/>
    <w:rsid w:val="005B677D"/>
    <w:rsid w:val="005B6C1E"/>
    <w:rsid w:val="005B7CF1"/>
    <w:rsid w:val="005C1B8D"/>
    <w:rsid w:val="005C22B2"/>
    <w:rsid w:val="005C2470"/>
    <w:rsid w:val="005C248F"/>
    <w:rsid w:val="005C251D"/>
    <w:rsid w:val="005C26F4"/>
    <w:rsid w:val="005C2CF2"/>
    <w:rsid w:val="005C49E7"/>
    <w:rsid w:val="005C69A0"/>
    <w:rsid w:val="005C6AF5"/>
    <w:rsid w:val="005D0EC5"/>
    <w:rsid w:val="005D25A1"/>
    <w:rsid w:val="005D2AAF"/>
    <w:rsid w:val="005D3767"/>
    <w:rsid w:val="005D4DBC"/>
    <w:rsid w:val="005D6ADC"/>
    <w:rsid w:val="005D731F"/>
    <w:rsid w:val="005E3468"/>
    <w:rsid w:val="005E4027"/>
    <w:rsid w:val="005E6BF0"/>
    <w:rsid w:val="005E72A2"/>
    <w:rsid w:val="005E7639"/>
    <w:rsid w:val="005F0CEF"/>
    <w:rsid w:val="005F22EF"/>
    <w:rsid w:val="005F2439"/>
    <w:rsid w:val="005F284F"/>
    <w:rsid w:val="005F641C"/>
    <w:rsid w:val="005F6FF8"/>
    <w:rsid w:val="005F7BC1"/>
    <w:rsid w:val="0060031E"/>
    <w:rsid w:val="00610138"/>
    <w:rsid w:val="00610F05"/>
    <w:rsid w:val="00611893"/>
    <w:rsid w:val="00612916"/>
    <w:rsid w:val="00612EC8"/>
    <w:rsid w:val="006136A7"/>
    <w:rsid w:val="006139AB"/>
    <w:rsid w:val="006143F4"/>
    <w:rsid w:val="00615CC5"/>
    <w:rsid w:val="00616670"/>
    <w:rsid w:val="00616778"/>
    <w:rsid w:val="00620F86"/>
    <w:rsid w:val="006251A4"/>
    <w:rsid w:val="0062535C"/>
    <w:rsid w:val="00626856"/>
    <w:rsid w:val="0062732C"/>
    <w:rsid w:val="00627CCF"/>
    <w:rsid w:val="00632CE1"/>
    <w:rsid w:val="006336A0"/>
    <w:rsid w:val="0063615A"/>
    <w:rsid w:val="0063685E"/>
    <w:rsid w:val="0064209C"/>
    <w:rsid w:val="00642704"/>
    <w:rsid w:val="00643CFF"/>
    <w:rsid w:val="006447B7"/>
    <w:rsid w:val="00646CD3"/>
    <w:rsid w:val="00647347"/>
    <w:rsid w:val="00647D9D"/>
    <w:rsid w:val="00647E93"/>
    <w:rsid w:val="00651A78"/>
    <w:rsid w:val="00651AA1"/>
    <w:rsid w:val="00654D86"/>
    <w:rsid w:val="00655885"/>
    <w:rsid w:val="00655B01"/>
    <w:rsid w:val="006560C3"/>
    <w:rsid w:val="00660282"/>
    <w:rsid w:val="00660D61"/>
    <w:rsid w:val="0066328E"/>
    <w:rsid w:val="00663515"/>
    <w:rsid w:val="0066782A"/>
    <w:rsid w:val="00671AF1"/>
    <w:rsid w:val="006734C2"/>
    <w:rsid w:val="00675622"/>
    <w:rsid w:val="0067773B"/>
    <w:rsid w:val="00680C31"/>
    <w:rsid w:val="00683AF6"/>
    <w:rsid w:val="00684C6F"/>
    <w:rsid w:val="0068567F"/>
    <w:rsid w:val="00686D2D"/>
    <w:rsid w:val="006873B8"/>
    <w:rsid w:val="00690454"/>
    <w:rsid w:val="006916AB"/>
    <w:rsid w:val="00691947"/>
    <w:rsid w:val="00694432"/>
    <w:rsid w:val="00695943"/>
    <w:rsid w:val="006960AC"/>
    <w:rsid w:val="006963B3"/>
    <w:rsid w:val="00696808"/>
    <w:rsid w:val="006A0BAB"/>
    <w:rsid w:val="006A1F54"/>
    <w:rsid w:val="006A338F"/>
    <w:rsid w:val="006A52D6"/>
    <w:rsid w:val="006A7C3E"/>
    <w:rsid w:val="006B4820"/>
    <w:rsid w:val="006B550B"/>
    <w:rsid w:val="006B5731"/>
    <w:rsid w:val="006B64A8"/>
    <w:rsid w:val="006B6C54"/>
    <w:rsid w:val="006B7199"/>
    <w:rsid w:val="006B74B0"/>
    <w:rsid w:val="006C06AE"/>
    <w:rsid w:val="006C1CFA"/>
    <w:rsid w:val="006C2D4D"/>
    <w:rsid w:val="006C3F5E"/>
    <w:rsid w:val="006C5457"/>
    <w:rsid w:val="006C6EAE"/>
    <w:rsid w:val="006D1D3A"/>
    <w:rsid w:val="006D475C"/>
    <w:rsid w:val="006D582E"/>
    <w:rsid w:val="006D597B"/>
    <w:rsid w:val="006D6866"/>
    <w:rsid w:val="006E580A"/>
    <w:rsid w:val="006E5C14"/>
    <w:rsid w:val="006E6C44"/>
    <w:rsid w:val="006E6DE5"/>
    <w:rsid w:val="006F0FA6"/>
    <w:rsid w:val="006F129D"/>
    <w:rsid w:val="007004DF"/>
    <w:rsid w:val="0070075C"/>
    <w:rsid w:val="00702092"/>
    <w:rsid w:val="007021F7"/>
    <w:rsid w:val="007029BA"/>
    <w:rsid w:val="0070353C"/>
    <w:rsid w:val="0070446E"/>
    <w:rsid w:val="00704694"/>
    <w:rsid w:val="007047A2"/>
    <w:rsid w:val="00704B91"/>
    <w:rsid w:val="00713D7B"/>
    <w:rsid w:val="00713DF6"/>
    <w:rsid w:val="0071450B"/>
    <w:rsid w:val="00714649"/>
    <w:rsid w:val="0071483F"/>
    <w:rsid w:val="00717AE4"/>
    <w:rsid w:val="00721572"/>
    <w:rsid w:val="007219AB"/>
    <w:rsid w:val="00722B94"/>
    <w:rsid w:val="00723357"/>
    <w:rsid w:val="00724FBA"/>
    <w:rsid w:val="00730310"/>
    <w:rsid w:val="007308AF"/>
    <w:rsid w:val="00730911"/>
    <w:rsid w:val="007309EB"/>
    <w:rsid w:val="0073191A"/>
    <w:rsid w:val="00732BCB"/>
    <w:rsid w:val="00733579"/>
    <w:rsid w:val="00734645"/>
    <w:rsid w:val="00736045"/>
    <w:rsid w:val="00736A67"/>
    <w:rsid w:val="00740BC6"/>
    <w:rsid w:val="00740D0E"/>
    <w:rsid w:val="00743404"/>
    <w:rsid w:val="0074365D"/>
    <w:rsid w:val="007438C0"/>
    <w:rsid w:val="00746256"/>
    <w:rsid w:val="00747DC3"/>
    <w:rsid w:val="00750795"/>
    <w:rsid w:val="0075204E"/>
    <w:rsid w:val="00754399"/>
    <w:rsid w:val="0075455C"/>
    <w:rsid w:val="00754F2B"/>
    <w:rsid w:val="0075513C"/>
    <w:rsid w:val="007553D5"/>
    <w:rsid w:val="00755876"/>
    <w:rsid w:val="007652CE"/>
    <w:rsid w:val="00765E85"/>
    <w:rsid w:val="007663AC"/>
    <w:rsid w:val="00766BE2"/>
    <w:rsid w:val="00766C1A"/>
    <w:rsid w:val="00771AE9"/>
    <w:rsid w:val="00771CD1"/>
    <w:rsid w:val="00774F5D"/>
    <w:rsid w:val="00776D97"/>
    <w:rsid w:val="007812B7"/>
    <w:rsid w:val="00781D69"/>
    <w:rsid w:val="0078490C"/>
    <w:rsid w:val="00784B59"/>
    <w:rsid w:val="00784E48"/>
    <w:rsid w:val="0078573C"/>
    <w:rsid w:val="007915CD"/>
    <w:rsid w:val="0079599B"/>
    <w:rsid w:val="00795EC6"/>
    <w:rsid w:val="00796B04"/>
    <w:rsid w:val="00797E68"/>
    <w:rsid w:val="007A1819"/>
    <w:rsid w:val="007A2BAC"/>
    <w:rsid w:val="007A3308"/>
    <w:rsid w:val="007A3470"/>
    <w:rsid w:val="007A3675"/>
    <w:rsid w:val="007A66ED"/>
    <w:rsid w:val="007A6D59"/>
    <w:rsid w:val="007B16F1"/>
    <w:rsid w:val="007B1B23"/>
    <w:rsid w:val="007B1B26"/>
    <w:rsid w:val="007B4C5E"/>
    <w:rsid w:val="007B509B"/>
    <w:rsid w:val="007B573E"/>
    <w:rsid w:val="007B6415"/>
    <w:rsid w:val="007C14AD"/>
    <w:rsid w:val="007C1833"/>
    <w:rsid w:val="007C1B0B"/>
    <w:rsid w:val="007C43D4"/>
    <w:rsid w:val="007C4B4D"/>
    <w:rsid w:val="007C520B"/>
    <w:rsid w:val="007D0D59"/>
    <w:rsid w:val="007D25C1"/>
    <w:rsid w:val="007D262C"/>
    <w:rsid w:val="007D6EBF"/>
    <w:rsid w:val="007E0006"/>
    <w:rsid w:val="007E10BA"/>
    <w:rsid w:val="007E2C8A"/>
    <w:rsid w:val="007E35B7"/>
    <w:rsid w:val="007F0330"/>
    <w:rsid w:val="007F33E5"/>
    <w:rsid w:val="007F3B68"/>
    <w:rsid w:val="007F4B60"/>
    <w:rsid w:val="007F51CD"/>
    <w:rsid w:val="007F6361"/>
    <w:rsid w:val="007F6C99"/>
    <w:rsid w:val="00800342"/>
    <w:rsid w:val="008010F8"/>
    <w:rsid w:val="00802340"/>
    <w:rsid w:val="00803A78"/>
    <w:rsid w:val="00804668"/>
    <w:rsid w:val="008047F7"/>
    <w:rsid w:val="008048E5"/>
    <w:rsid w:val="00804A90"/>
    <w:rsid w:val="008077C1"/>
    <w:rsid w:val="00807B71"/>
    <w:rsid w:val="00810004"/>
    <w:rsid w:val="00813484"/>
    <w:rsid w:val="0082072C"/>
    <w:rsid w:val="0082191F"/>
    <w:rsid w:val="00822908"/>
    <w:rsid w:val="00825704"/>
    <w:rsid w:val="008274B0"/>
    <w:rsid w:val="00827E17"/>
    <w:rsid w:val="00830A59"/>
    <w:rsid w:val="00831D83"/>
    <w:rsid w:val="00835FDF"/>
    <w:rsid w:val="0083647F"/>
    <w:rsid w:val="00836D87"/>
    <w:rsid w:val="008400DB"/>
    <w:rsid w:val="00840FF8"/>
    <w:rsid w:val="00843D23"/>
    <w:rsid w:val="00844DC0"/>
    <w:rsid w:val="00845A4A"/>
    <w:rsid w:val="00845E93"/>
    <w:rsid w:val="00846600"/>
    <w:rsid w:val="008509A6"/>
    <w:rsid w:val="00852E2E"/>
    <w:rsid w:val="00854FAD"/>
    <w:rsid w:val="00855BBC"/>
    <w:rsid w:val="00860E88"/>
    <w:rsid w:val="00862A8E"/>
    <w:rsid w:val="0086341A"/>
    <w:rsid w:val="00865D8B"/>
    <w:rsid w:val="00866A79"/>
    <w:rsid w:val="00866AEC"/>
    <w:rsid w:val="008702F0"/>
    <w:rsid w:val="0087273D"/>
    <w:rsid w:val="0087555B"/>
    <w:rsid w:val="00877D70"/>
    <w:rsid w:val="008816D1"/>
    <w:rsid w:val="00882765"/>
    <w:rsid w:val="00882DD9"/>
    <w:rsid w:val="0088506F"/>
    <w:rsid w:val="008859BE"/>
    <w:rsid w:val="00887D09"/>
    <w:rsid w:val="00890707"/>
    <w:rsid w:val="00895EC6"/>
    <w:rsid w:val="00896020"/>
    <w:rsid w:val="00896752"/>
    <w:rsid w:val="008A02BA"/>
    <w:rsid w:val="008A1E67"/>
    <w:rsid w:val="008A511E"/>
    <w:rsid w:val="008A5D4D"/>
    <w:rsid w:val="008A6699"/>
    <w:rsid w:val="008A6D39"/>
    <w:rsid w:val="008B029F"/>
    <w:rsid w:val="008B436B"/>
    <w:rsid w:val="008B4C75"/>
    <w:rsid w:val="008B560D"/>
    <w:rsid w:val="008C0482"/>
    <w:rsid w:val="008C0BFB"/>
    <w:rsid w:val="008C1824"/>
    <w:rsid w:val="008C22C1"/>
    <w:rsid w:val="008C26F5"/>
    <w:rsid w:val="008C4ECA"/>
    <w:rsid w:val="008C7E47"/>
    <w:rsid w:val="008D1D97"/>
    <w:rsid w:val="008D2DE9"/>
    <w:rsid w:val="008D3C6F"/>
    <w:rsid w:val="008E0DB0"/>
    <w:rsid w:val="008E1EA0"/>
    <w:rsid w:val="008E517C"/>
    <w:rsid w:val="008E56C8"/>
    <w:rsid w:val="008E61D2"/>
    <w:rsid w:val="008E63D6"/>
    <w:rsid w:val="008E69D2"/>
    <w:rsid w:val="008F0C40"/>
    <w:rsid w:val="008F41E3"/>
    <w:rsid w:val="008F4A33"/>
    <w:rsid w:val="00902110"/>
    <w:rsid w:val="009021D3"/>
    <w:rsid w:val="00902B47"/>
    <w:rsid w:val="00902F1B"/>
    <w:rsid w:val="009039AD"/>
    <w:rsid w:val="009060F9"/>
    <w:rsid w:val="00906EB5"/>
    <w:rsid w:val="009071BE"/>
    <w:rsid w:val="00907636"/>
    <w:rsid w:val="0090763C"/>
    <w:rsid w:val="00912782"/>
    <w:rsid w:val="00913436"/>
    <w:rsid w:val="009134D1"/>
    <w:rsid w:val="00913C12"/>
    <w:rsid w:val="00915744"/>
    <w:rsid w:val="00915B8F"/>
    <w:rsid w:val="00917405"/>
    <w:rsid w:val="00917868"/>
    <w:rsid w:val="00917F0B"/>
    <w:rsid w:val="00920B7A"/>
    <w:rsid w:val="00921C23"/>
    <w:rsid w:val="00922E92"/>
    <w:rsid w:val="00923543"/>
    <w:rsid w:val="00923DF0"/>
    <w:rsid w:val="009243CB"/>
    <w:rsid w:val="0092550B"/>
    <w:rsid w:val="00925A58"/>
    <w:rsid w:val="00930FB2"/>
    <w:rsid w:val="009324C2"/>
    <w:rsid w:val="009330AD"/>
    <w:rsid w:val="009359D4"/>
    <w:rsid w:val="00935C77"/>
    <w:rsid w:val="0093774C"/>
    <w:rsid w:val="00942BE7"/>
    <w:rsid w:val="0094313D"/>
    <w:rsid w:val="00944824"/>
    <w:rsid w:val="00946868"/>
    <w:rsid w:val="009502AC"/>
    <w:rsid w:val="00952544"/>
    <w:rsid w:val="00953FEE"/>
    <w:rsid w:val="00955488"/>
    <w:rsid w:val="00955501"/>
    <w:rsid w:val="00960282"/>
    <w:rsid w:val="009604E3"/>
    <w:rsid w:val="009607DF"/>
    <w:rsid w:val="009609B6"/>
    <w:rsid w:val="00963CC1"/>
    <w:rsid w:val="009647DA"/>
    <w:rsid w:val="009649D3"/>
    <w:rsid w:val="009652DD"/>
    <w:rsid w:val="009659D0"/>
    <w:rsid w:val="00970ACF"/>
    <w:rsid w:val="009728AF"/>
    <w:rsid w:val="00972BC4"/>
    <w:rsid w:val="00977DF6"/>
    <w:rsid w:val="009816D4"/>
    <w:rsid w:val="009826BE"/>
    <w:rsid w:val="00983697"/>
    <w:rsid w:val="00983906"/>
    <w:rsid w:val="00985509"/>
    <w:rsid w:val="00985ACB"/>
    <w:rsid w:val="009867FC"/>
    <w:rsid w:val="00987CCE"/>
    <w:rsid w:val="00992FC5"/>
    <w:rsid w:val="0099402B"/>
    <w:rsid w:val="009949F0"/>
    <w:rsid w:val="0099536E"/>
    <w:rsid w:val="00996016"/>
    <w:rsid w:val="0099711D"/>
    <w:rsid w:val="00997F00"/>
    <w:rsid w:val="009A1DED"/>
    <w:rsid w:val="009A3173"/>
    <w:rsid w:val="009A3624"/>
    <w:rsid w:val="009A6C9C"/>
    <w:rsid w:val="009B0E1C"/>
    <w:rsid w:val="009B1163"/>
    <w:rsid w:val="009B1400"/>
    <w:rsid w:val="009B1E95"/>
    <w:rsid w:val="009B2779"/>
    <w:rsid w:val="009B5E7F"/>
    <w:rsid w:val="009B6D93"/>
    <w:rsid w:val="009C03F5"/>
    <w:rsid w:val="009C2BB6"/>
    <w:rsid w:val="009C2C1F"/>
    <w:rsid w:val="009C504B"/>
    <w:rsid w:val="009C6B3C"/>
    <w:rsid w:val="009C75F7"/>
    <w:rsid w:val="009C7DA3"/>
    <w:rsid w:val="009D10A7"/>
    <w:rsid w:val="009D16A0"/>
    <w:rsid w:val="009D24F4"/>
    <w:rsid w:val="009D385A"/>
    <w:rsid w:val="009D3B97"/>
    <w:rsid w:val="009D40B9"/>
    <w:rsid w:val="009D6F2F"/>
    <w:rsid w:val="009D7BA9"/>
    <w:rsid w:val="009E0398"/>
    <w:rsid w:val="009E1771"/>
    <w:rsid w:val="009E32FE"/>
    <w:rsid w:val="009E449C"/>
    <w:rsid w:val="009E50AA"/>
    <w:rsid w:val="009E78B3"/>
    <w:rsid w:val="009F298E"/>
    <w:rsid w:val="009F5806"/>
    <w:rsid w:val="009F60D5"/>
    <w:rsid w:val="009F6B75"/>
    <w:rsid w:val="00A026DF"/>
    <w:rsid w:val="00A032E4"/>
    <w:rsid w:val="00A033C5"/>
    <w:rsid w:val="00A03B20"/>
    <w:rsid w:val="00A04949"/>
    <w:rsid w:val="00A05605"/>
    <w:rsid w:val="00A06BB8"/>
    <w:rsid w:val="00A07B71"/>
    <w:rsid w:val="00A10F1D"/>
    <w:rsid w:val="00A13428"/>
    <w:rsid w:val="00A13C72"/>
    <w:rsid w:val="00A15E78"/>
    <w:rsid w:val="00A168D8"/>
    <w:rsid w:val="00A17FF3"/>
    <w:rsid w:val="00A20866"/>
    <w:rsid w:val="00A208DE"/>
    <w:rsid w:val="00A20C40"/>
    <w:rsid w:val="00A210CA"/>
    <w:rsid w:val="00A239AE"/>
    <w:rsid w:val="00A31178"/>
    <w:rsid w:val="00A330CC"/>
    <w:rsid w:val="00A34E43"/>
    <w:rsid w:val="00A355A3"/>
    <w:rsid w:val="00A3576E"/>
    <w:rsid w:val="00A36951"/>
    <w:rsid w:val="00A37E85"/>
    <w:rsid w:val="00A40206"/>
    <w:rsid w:val="00A43E9B"/>
    <w:rsid w:val="00A47E5D"/>
    <w:rsid w:val="00A51CAE"/>
    <w:rsid w:val="00A5293C"/>
    <w:rsid w:val="00A52C29"/>
    <w:rsid w:val="00A53EC9"/>
    <w:rsid w:val="00A5531A"/>
    <w:rsid w:val="00A55CAB"/>
    <w:rsid w:val="00A56553"/>
    <w:rsid w:val="00A61CE8"/>
    <w:rsid w:val="00A62BA3"/>
    <w:rsid w:val="00A640B7"/>
    <w:rsid w:val="00A66D34"/>
    <w:rsid w:val="00A721DC"/>
    <w:rsid w:val="00A72B70"/>
    <w:rsid w:val="00A77E12"/>
    <w:rsid w:val="00A80434"/>
    <w:rsid w:val="00A816D2"/>
    <w:rsid w:val="00A8313D"/>
    <w:rsid w:val="00A8329F"/>
    <w:rsid w:val="00A84973"/>
    <w:rsid w:val="00A84BF3"/>
    <w:rsid w:val="00A8678F"/>
    <w:rsid w:val="00A8770E"/>
    <w:rsid w:val="00A90AD8"/>
    <w:rsid w:val="00A910BB"/>
    <w:rsid w:val="00A9203A"/>
    <w:rsid w:val="00A920F9"/>
    <w:rsid w:val="00A9259C"/>
    <w:rsid w:val="00A92D05"/>
    <w:rsid w:val="00A9400F"/>
    <w:rsid w:val="00A95386"/>
    <w:rsid w:val="00A95A62"/>
    <w:rsid w:val="00AA1D37"/>
    <w:rsid w:val="00AA43E1"/>
    <w:rsid w:val="00AA4F90"/>
    <w:rsid w:val="00AB1F15"/>
    <w:rsid w:val="00AB30DF"/>
    <w:rsid w:val="00AB3FAC"/>
    <w:rsid w:val="00AB4DA7"/>
    <w:rsid w:val="00AB57E4"/>
    <w:rsid w:val="00AB69B9"/>
    <w:rsid w:val="00AC1627"/>
    <w:rsid w:val="00AC2A4A"/>
    <w:rsid w:val="00AC589F"/>
    <w:rsid w:val="00AC6735"/>
    <w:rsid w:val="00AC6F6C"/>
    <w:rsid w:val="00AC6FA8"/>
    <w:rsid w:val="00AC77EE"/>
    <w:rsid w:val="00AC78B1"/>
    <w:rsid w:val="00AD190E"/>
    <w:rsid w:val="00AD3FD6"/>
    <w:rsid w:val="00AD51B0"/>
    <w:rsid w:val="00AD5E2C"/>
    <w:rsid w:val="00AD6E01"/>
    <w:rsid w:val="00AD7658"/>
    <w:rsid w:val="00AD7ADC"/>
    <w:rsid w:val="00AD7E70"/>
    <w:rsid w:val="00AE075A"/>
    <w:rsid w:val="00AE201C"/>
    <w:rsid w:val="00AE2B6D"/>
    <w:rsid w:val="00AE39AA"/>
    <w:rsid w:val="00AE5F44"/>
    <w:rsid w:val="00AE6F6C"/>
    <w:rsid w:val="00AF0649"/>
    <w:rsid w:val="00AF0C39"/>
    <w:rsid w:val="00AF11BD"/>
    <w:rsid w:val="00AF14B6"/>
    <w:rsid w:val="00AF4239"/>
    <w:rsid w:val="00AF6869"/>
    <w:rsid w:val="00AF7F93"/>
    <w:rsid w:val="00B01868"/>
    <w:rsid w:val="00B01BF1"/>
    <w:rsid w:val="00B07540"/>
    <w:rsid w:val="00B10726"/>
    <w:rsid w:val="00B11FD6"/>
    <w:rsid w:val="00B136F4"/>
    <w:rsid w:val="00B1370D"/>
    <w:rsid w:val="00B13CF8"/>
    <w:rsid w:val="00B15741"/>
    <w:rsid w:val="00B2089F"/>
    <w:rsid w:val="00B255C7"/>
    <w:rsid w:val="00B30D84"/>
    <w:rsid w:val="00B31DBB"/>
    <w:rsid w:val="00B32F64"/>
    <w:rsid w:val="00B40163"/>
    <w:rsid w:val="00B403A5"/>
    <w:rsid w:val="00B423BD"/>
    <w:rsid w:val="00B44982"/>
    <w:rsid w:val="00B46056"/>
    <w:rsid w:val="00B4794A"/>
    <w:rsid w:val="00B47E30"/>
    <w:rsid w:val="00B508F2"/>
    <w:rsid w:val="00B509E5"/>
    <w:rsid w:val="00B549A7"/>
    <w:rsid w:val="00B554F0"/>
    <w:rsid w:val="00B600BC"/>
    <w:rsid w:val="00B60A3A"/>
    <w:rsid w:val="00B617F2"/>
    <w:rsid w:val="00B63C77"/>
    <w:rsid w:val="00B64F80"/>
    <w:rsid w:val="00B6517F"/>
    <w:rsid w:val="00B66711"/>
    <w:rsid w:val="00B70910"/>
    <w:rsid w:val="00B718E1"/>
    <w:rsid w:val="00B72777"/>
    <w:rsid w:val="00B72CDF"/>
    <w:rsid w:val="00B73F6F"/>
    <w:rsid w:val="00B81255"/>
    <w:rsid w:val="00B81514"/>
    <w:rsid w:val="00B83FC9"/>
    <w:rsid w:val="00B85761"/>
    <w:rsid w:val="00B86928"/>
    <w:rsid w:val="00B90541"/>
    <w:rsid w:val="00B90A9C"/>
    <w:rsid w:val="00B918B6"/>
    <w:rsid w:val="00B933F6"/>
    <w:rsid w:val="00B93D52"/>
    <w:rsid w:val="00B958F4"/>
    <w:rsid w:val="00BA259C"/>
    <w:rsid w:val="00BA2757"/>
    <w:rsid w:val="00BA3720"/>
    <w:rsid w:val="00BA7798"/>
    <w:rsid w:val="00BB0A01"/>
    <w:rsid w:val="00BB2CC0"/>
    <w:rsid w:val="00BB3D52"/>
    <w:rsid w:val="00BB48ED"/>
    <w:rsid w:val="00BB533C"/>
    <w:rsid w:val="00BB5D1E"/>
    <w:rsid w:val="00BB5DEC"/>
    <w:rsid w:val="00BC13C6"/>
    <w:rsid w:val="00BC6D02"/>
    <w:rsid w:val="00BC7509"/>
    <w:rsid w:val="00BD0D42"/>
    <w:rsid w:val="00BD2523"/>
    <w:rsid w:val="00BD32C5"/>
    <w:rsid w:val="00BD6760"/>
    <w:rsid w:val="00BD7358"/>
    <w:rsid w:val="00BD7F5C"/>
    <w:rsid w:val="00BE041F"/>
    <w:rsid w:val="00BE138A"/>
    <w:rsid w:val="00BE148E"/>
    <w:rsid w:val="00BE14EB"/>
    <w:rsid w:val="00BE1A54"/>
    <w:rsid w:val="00BE23DE"/>
    <w:rsid w:val="00BE244F"/>
    <w:rsid w:val="00BE29B7"/>
    <w:rsid w:val="00BE3D24"/>
    <w:rsid w:val="00BF0E20"/>
    <w:rsid w:val="00BF1662"/>
    <w:rsid w:val="00BF4266"/>
    <w:rsid w:val="00BF5F43"/>
    <w:rsid w:val="00BF70A9"/>
    <w:rsid w:val="00BF725C"/>
    <w:rsid w:val="00C000FF"/>
    <w:rsid w:val="00C00267"/>
    <w:rsid w:val="00C01D43"/>
    <w:rsid w:val="00C021ED"/>
    <w:rsid w:val="00C04BFB"/>
    <w:rsid w:val="00C04CEF"/>
    <w:rsid w:val="00C06CF9"/>
    <w:rsid w:val="00C1374D"/>
    <w:rsid w:val="00C1456F"/>
    <w:rsid w:val="00C167C4"/>
    <w:rsid w:val="00C16DB5"/>
    <w:rsid w:val="00C17692"/>
    <w:rsid w:val="00C2077E"/>
    <w:rsid w:val="00C22300"/>
    <w:rsid w:val="00C2471E"/>
    <w:rsid w:val="00C2605B"/>
    <w:rsid w:val="00C33521"/>
    <w:rsid w:val="00C3462A"/>
    <w:rsid w:val="00C4232C"/>
    <w:rsid w:val="00C42354"/>
    <w:rsid w:val="00C4260A"/>
    <w:rsid w:val="00C429B1"/>
    <w:rsid w:val="00C43E8E"/>
    <w:rsid w:val="00C44297"/>
    <w:rsid w:val="00C4484B"/>
    <w:rsid w:val="00C4607B"/>
    <w:rsid w:val="00C469B6"/>
    <w:rsid w:val="00C46AA9"/>
    <w:rsid w:val="00C46ADD"/>
    <w:rsid w:val="00C46C10"/>
    <w:rsid w:val="00C4732B"/>
    <w:rsid w:val="00C47384"/>
    <w:rsid w:val="00C478DC"/>
    <w:rsid w:val="00C50A2B"/>
    <w:rsid w:val="00C531C9"/>
    <w:rsid w:val="00C542DD"/>
    <w:rsid w:val="00C55564"/>
    <w:rsid w:val="00C56CB9"/>
    <w:rsid w:val="00C57057"/>
    <w:rsid w:val="00C57BB0"/>
    <w:rsid w:val="00C619F1"/>
    <w:rsid w:val="00C61C14"/>
    <w:rsid w:val="00C62FF6"/>
    <w:rsid w:val="00C63EAF"/>
    <w:rsid w:val="00C664DA"/>
    <w:rsid w:val="00C66E0A"/>
    <w:rsid w:val="00C70AF1"/>
    <w:rsid w:val="00C7190A"/>
    <w:rsid w:val="00C73099"/>
    <w:rsid w:val="00C73E57"/>
    <w:rsid w:val="00C744B9"/>
    <w:rsid w:val="00C74CF1"/>
    <w:rsid w:val="00C756CE"/>
    <w:rsid w:val="00C7725D"/>
    <w:rsid w:val="00C80110"/>
    <w:rsid w:val="00C80859"/>
    <w:rsid w:val="00C80AC2"/>
    <w:rsid w:val="00C80E58"/>
    <w:rsid w:val="00C837EF"/>
    <w:rsid w:val="00C83B22"/>
    <w:rsid w:val="00C84525"/>
    <w:rsid w:val="00C8460F"/>
    <w:rsid w:val="00C84850"/>
    <w:rsid w:val="00C84EC4"/>
    <w:rsid w:val="00C84F6B"/>
    <w:rsid w:val="00C933F9"/>
    <w:rsid w:val="00C94252"/>
    <w:rsid w:val="00C975F5"/>
    <w:rsid w:val="00CA1047"/>
    <w:rsid w:val="00CA28C4"/>
    <w:rsid w:val="00CA29CB"/>
    <w:rsid w:val="00CA3B0C"/>
    <w:rsid w:val="00CA3F29"/>
    <w:rsid w:val="00CA466F"/>
    <w:rsid w:val="00CA4AF0"/>
    <w:rsid w:val="00CA4E58"/>
    <w:rsid w:val="00CA587D"/>
    <w:rsid w:val="00CA5AC0"/>
    <w:rsid w:val="00CA6441"/>
    <w:rsid w:val="00CA6D19"/>
    <w:rsid w:val="00CB4E34"/>
    <w:rsid w:val="00CB50A1"/>
    <w:rsid w:val="00CB5BA0"/>
    <w:rsid w:val="00CB60A1"/>
    <w:rsid w:val="00CB67D1"/>
    <w:rsid w:val="00CB72D0"/>
    <w:rsid w:val="00CC2C10"/>
    <w:rsid w:val="00CC43E3"/>
    <w:rsid w:val="00CC4B1F"/>
    <w:rsid w:val="00CD0C95"/>
    <w:rsid w:val="00CD2485"/>
    <w:rsid w:val="00CD2D7E"/>
    <w:rsid w:val="00CD3019"/>
    <w:rsid w:val="00CD6248"/>
    <w:rsid w:val="00CD7655"/>
    <w:rsid w:val="00CE13AD"/>
    <w:rsid w:val="00CE3F56"/>
    <w:rsid w:val="00CE45C1"/>
    <w:rsid w:val="00CE57E9"/>
    <w:rsid w:val="00CE5939"/>
    <w:rsid w:val="00CE6A14"/>
    <w:rsid w:val="00CE7B32"/>
    <w:rsid w:val="00CF0830"/>
    <w:rsid w:val="00CF0D7E"/>
    <w:rsid w:val="00CF1BF0"/>
    <w:rsid w:val="00CF2651"/>
    <w:rsid w:val="00CF4D10"/>
    <w:rsid w:val="00CF7207"/>
    <w:rsid w:val="00CF7C8A"/>
    <w:rsid w:val="00D01C10"/>
    <w:rsid w:val="00D03DEE"/>
    <w:rsid w:val="00D05692"/>
    <w:rsid w:val="00D060C9"/>
    <w:rsid w:val="00D0651D"/>
    <w:rsid w:val="00D065DA"/>
    <w:rsid w:val="00D071F5"/>
    <w:rsid w:val="00D103EA"/>
    <w:rsid w:val="00D11999"/>
    <w:rsid w:val="00D12A5E"/>
    <w:rsid w:val="00D139AC"/>
    <w:rsid w:val="00D15B45"/>
    <w:rsid w:val="00D161F8"/>
    <w:rsid w:val="00D16D93"/>
    <w:rsid w:val="00D1724B"/>
    <w:rsid w:val="00D204DA"/>
    <w:rsid w:val="00D20A16"/>
    <w:rsid w:val="00D210F3"/>
    <w:rsid w:val="00D24FDE"/>
    <w:rsid w:val="00D26621"/>
    <w:rsid w:val="00D27D57"/>
    <w:rsid w:val="00D30FFA"/>
    <w:rsid w:val="00D31050"/>
    <w:rsid w:val="00D345EA"/>
    <w:rsid w:val="00D35BB3"/>
    <w:rsid w:val="00D375D0"/>
    <w:rsid w:val="00D377A7"/>
    <w:rsid w:val="00D40A09"/>
    <w:rsid w:val="00D411F9"/>
    <w:rsid w:val="00D4232D"/>
    <w:rsid w:val="00D43943"/>
    <w:rsid w:val="00D4485F"/>
    <w:rsid w:val="00D45303"/>
    <w:rsid w:val="00D46B41"/>
    <w:rsid w:val="00D5050E"/>
    <w:rsid w:val="00D51FC9"/>
    <w:rsid w:val="00D53481"/>
    <w:rsid w:val="00D53EDD"/>
    <w:rsid w:val="00D543A3"/>
    <w:rsid w:val="00D54A14"/>
    <w:rsid w:val="00D566AC"/>
    <w:rsid w:val="00D569A0"/>
    <w:rsid w:val="00D57430"/>
    <w:rsid w:val="00D63218"/>
    <w:rsid w:val="00D63A4B"/>
    <w:rsid w:val="00D6698E"/>
    <w:rsid w:val="00D66A04"/>
    <w:rsid w:val="00D676F6"/>
    <w:rsid w:val="00D67E75"/>
    <w:rsid w:val="00D71DB8"/>
    <w:rsid w:val="00D72142"/>
    <w:rsid w:val="00D72BA8"/>
    <w:rsid w:val="00D73F7A"/>
    <w:rsid w:val="00D74D2E"/>
    <w:rsid w:val="00D77FED"/>
    <w:rsid w:val="00D821E6"/>
    <w:rsid w:val="00D824A4"/>
    <w:rsid w:val="00D83A5E"/>
    <w:rsid w:val="00D8568F"/>
    <w:rsid w:val="00D86A2C"/>
    <w:rsid w:val="00D87891"/>
    <w:rsid w:val="00D92845"/>
    <w:rsid w:val="00D93185"/>
    <w:rsid w:val="00D943E4"/>
    <w:rsid w:val="00D946EB"/>
    <w:rsid w:val="00D94D6A"/>
    <w:rsid w:val="00D95DD1"/>
    <w:rsid w:val="00D95FEE"/>
    <w:rsid w:val="00D9730B"/>
    <w:rsid w:val="00DA0328"/>
    <w:rsid w:val="00DA0E47"/>
    <w:rsid w:val="00DA3401"/>
    <w:rsid w:val="00DA39A3"/>
    <w:rsid w:val="00DA519B"/>
    <w:rsid w:val="00DA53B4"/>
    <w:rsid w:val="00DB1B5F"/>
    <w:rsid w:val="00DB1FB3"/>
    <w:rsid w:val="00DB6877"/>
    <w:rsid w:val="00DC373C"/>
    <w:rsid w:val="00DC49D9"/>
    <w:rsid w:val="00DC4E2B"/>
    <w:rsid w:val="00DC716E"/>
    <w:rsid w:val="00DD2301"/>
    <w:rsid w:val="00DD2F33"/>
    <w:rsid w:val="00DD358D"/>
    <w:rsid w:val="00DD3637"/>
    <w:rsid w:val="00DD40FC"/>
    <w:rsid w:val="00DD5CF7"/>
    <w:rsid w:val="00DE20E1"/>
    <w:rsid w:val="00DE4D41"/>
    <w:rsid w:val="00DE502C"/>
    <w:rsid w:val="00DE593B"/>
    <w:rsid w:val="00DF176D"/>
    <w:rsid w:val="00DF2804"/>
    <w:rsid w:val="00DF3C77"/>
    <w:rsid w:val="00DF48A8"/>
    <w:rsid w:val="00DF4C70"/>
    <w:rsid w:val="00DF53B5"/>
    <w:rsid w:val="00DF53D5"/>
    <w:rsid w:val="00DF5808"/>
    <w:rsid w:val="00DF77C8"/>
    <w:rsid w:val="00DF78DC"/>
    <w:rsid w:val="00DF7B75"/>
    <w:rsid w:val="00E00A78"/>
    <w:rsid w:val="00E1017F"/>
    <w:rsid w:val="00E1121C"/>
    <w:rsid w:val="00E12604"/>
    <w:rsid w:val="00E136A3"/>
    <w:rsid w:val="00E136AC"/>
    <w:rsid w:val="00E13873"/>
    <w:rsid w:val="00E14E30"/>
    <w:rsid w:val="00E14ED9"/>
    <w:rsid w:val="00E1518D"/>
    <w:rsid w:val="00E15424"/>
    <w:rsid w:val="00E177B9"/>
    <w:rsid w:val="00E2039A"/>
    <w:rsid w:val="00E20B07"/>
    <w:rsid w:val="00E3233A"/>
    <w:rsid w:val="00E32C33"/>
    <w:rsid w:val="00E3417A"/>
    <w:rsid w:val="00E345C7"/>
    <w:rsid w:val="00E34F5E"/>
    <w:rsid w:val="00E35046"/>
    <w:rsid w:val="00E351B4"/>
    <w:rsid w:val="00E36790"/>
    <w:rsid w:val="00E37B88"/>
    <w:rsid w:val="00E37D02"/>
    <w:rsid w:val="00E44528"/>
    <w:rsid w:val="00E459C7"/>
    <w:rsid w:val="00E47B79"/>
    <w:rsid w:val="00E47DA0"/>
    <w:rsid w:val="00E5051D"/>
    <w:rsid w:val="00E52062"/>
    <w:rsid w:val="00E530B9"/>
    <w:rsid w:val="00E5585E"/>
    <w:rsid w:val="00E56AD5"/>
    <w:rsid w:val="00E617B7"/>
    <w:rsid w:val="00E623E6"/>
    <w:rsid w:val="00E6464C"/>
    <w:rsid w:val="00E65933"/>
    <w:rsid w:val="00E65D9C"/>
    <w:rsid w:val="00E665C2"/>
    <w:rsid w:val="00E67546"/>
    <w:rsid w:val="00E6798A"/>
    <w:rsid w:val="00E71179"/>
    <w:rsid w:val="00E739DA"/>
    <w:rsid w:val="00E77C5E"/>
    <w:rsid w:val="00E803D5"/>
    <w:rsid w:val="00E82A42"/>
    <w:rsid w:val="00E8679B"/>
    <w:rsid w:val="00E87071"/>
    <w:rsid w:val="00E8736D"/>
    <w:rsid w:val="00E90473"/>
    <w:rsid w:val="00E90AFE"/>
    <w:rsid w:val="00E9256A"/>
    <w:rsid w:val="00E927E7"/>
    <w:rsid w:val="00E97DDF"/>
    <w:rsid w:val="00E97EA6"/>
    <w:rsid w:val="00EA04B5"/>
    <w:rsid w:val="00EA0B02"/>
    <w:rsid w:val="00EA1BE1"/>
    <w:rsid w:val="00EA2779"/>
    <w:rsid w:val="00EA429D"/>
    <w:rsid w:val="00EA6C38"/>
    <w:rsid w:val="00EB130C"/>
    <w:rsid w:val="00EB1966"/>
    <w:rsid w:val="00EB2263"/>
    <w:rsid w:val="00EB269E"/>
    <w:rsid w:val="00EB2AFE"/>
    <w:rsid w:val="00EB2EA3"/>
    <w:rsid w:val="00EB3DE4"/>
    <w:rsid w:val="00EB4180"/>
    <w:rsid w:val="00EB572E"/>
    <w:rsid w:val="00EB6373"/>
    <w:rsid w:val="00EC0B76"/>
    <w:rsid w:val="00EC1811"/>
    <w:rsid w:val="00EC227B"/>
    <w:rsid w:val="00EC2943"/>
    <w:rsid w:val="00EC307E"/>
    <w:rsid w:val="00EC56AF"/>
    <w:rsid w:val="00EC5989"/>
    <w:rsid w:val="00EC66B7"/>
    <w:rsid w:val="00ED21B1"/>
    <w:rsid w:val="00ED46C3"/>
    <w:rsid w:val="00ED7A0C"/>
    <w:rsid w:val="00ED7CB7"/>
    <w:rsid w:val="00ED7D62"/>
    <w:rsid w:val="00EE042C"/>
    <w:rsid w:val="00EE0C75"/>
    <w:rsid w:val="00EE0FC3"/>
    <w:rsid w:val="00EE22B7"/>
    <w:rsid w:val="00EE238E"/>
    <w:rsid w:val="00EE244A"/>
    <w:rsid w:val="00EE2A37"/>
    <w:rsid w:val="00EE3490"/>
    <w:rsid w:val="00EE3EEB"/>
    <w:rsid w:val="00EE4F22"/>
    <w:rsid w:val="00EE4F91"/>
    <w:rsid w:val="00EF329A"/>
    <w:rsid w:val="00EF5141"/>
    <w:rsid w:val="00EF57BD"/>
    <w:rsid w:val="00EF5C76"/>
    <w:rsid w:val="00F04364"/>
    <w:rsid w:val="00F04C5D"/>
    <w:rsid w:val="00F06912"/>
    <w:rsid w:val="00F06C16"/>
    <w:rsid w:val="00F0734A"/>
    <w:rsid w:val="00F07C63"/>
    <w:rsid w:val="00F07FD3"/>
    <w:rsid w:val="00F07FD6"/>
    <w:rsid w:val="00F1030F"/>
    <w:rsid w:val="00F10C40"/>
    <w:rsid w:val="00F11126"/>
    <w:rsid w:val="00F111B0"/>
    <w:rsid w:val="00F12BCE"/>
    <w:rsid w:val="00F13229"/>
    <w:rsid w:val="00F133A8"/>
    <w:rsid w:val="00F13878"/>
    <w:rsid w:val="00F16589"/>
    <w:rsid w:val="00F16B0C"/>
    <w:rsid w:val="00F16DA5"/>
    <w:rsid w:val="00F17B45"/>
    <w:rsid w:val="00F17F7B"/>
    <w:rsid w:val="00F21460"/>
    <w:rsid w:val="00F21E46"/>
    <w:rsid w:val="00F22136"/>
    <w:rsid w:val="00F260CA"/>
    <w:rsid w:val="00F26C11"/>
    <w:rsid w:val="00F30A68"/>
    <w:rsid w:val="00F31DF3"/>
    <w:rsid w:val="00F31EA1"/>
    <w:rsid w:val="00F328C0"/>
    <w:rsid w:val="00F32E64"/>
    <w:rsid w:val="00F35838"/>
    <w:rsid w:val="00F37053"/>
    <w:rsid w:val="00F37C5A"/>
    <w:rsid w:val="00F4100C"/>
    <w:rsid w:val="00F421F4"/>
    <w:rsid w:val="00F4231A"/>
    <w:rsid w:val="00F43542"/>
    <w:rsid w:val="00F44AD0"/>
    <w:rsid w:val="00F456CE"/>
    <w:rsid w:val="00F45CB9"/>
    <w:rsid w:val="00F47A79"/>
    <w:rsid w:val="00F47D34"/>
    <w:rsid w:val="00F505CE"/>
    <w:rsid w:val="00F510D1"/>
    <w:rsid w:val="00F51C7C"/>
    <w:rsid w:val="00F56CBB"/>
    <w:rsid w:val="00F575B0"/>
    <w:rsid w:val="00F57822"/>
    <w:rsid w:val="00F60503"/>
    <w:rsid w:val="00F62C2D"/>
    <w:rsid w:val="00F63DBE"/>
    <w:rsid w:val="00F66D74"/>
    <w:rsid w:val="00F74DDD"/>
    <w:rsid w:val="00F77854"/>
    <w:rsid w:val="00F82CA0"/>
    <w:rsid w:val="00F84D38"/>
    <w:rsid w:val="00F86256"/>
    <w:rsid w:val="00F90873"/>
    <w:rsid w:val="00F926B9"/>
    <w:rsid w:val="00F935A6"/>
    <w:rsid w:val="00F951D3"/>
    <w:rsid w:val="00F95309"/>
    <w:rsid w:val="00FA163E"/>
    <w:rsid w:val="00FA5317"/>
    <w:rsid w:val="00FA58D6"/>
    <w:rsid w:val="00FA7355"/>
    <w:rsid w:val="00FA7D13"/>
    <w:rsid w:val="00FB0016"/>
    <w:rsid w:val="00FB4DE7"/>
    <w:rsid w:val="00FB74C0"/>
    <w:rsid w:val="00FC1C24"/>
    <w:rsid w:val="00FC495D"/>
    <w:rsid w:val="00FC7332"/>
    <w:rsid w:val="00FD045F"/>
    <w:rsid w:val="00FD0601"/>
    <w:rsid w:val="00FD1806"/>
    <w:rsid w:val="00FD1992"/>
    <w:rsid w:val="00FD2821"/>
    <w:rsid w:val="00FD71E0"/>
    <w:rsid w:val="00FE0BCE"/>
    <w:rsid w:val="00FE203F"/>
    <w:rsid w:val="00FE3583"/>
    <w:rsid w:val="00FE381C"/>
    <w:rsid w:val="00FE3C95"/>
    <w:rsid w:val="00FE7119"/>
    <w:rsid w:val="00FF38F2"/>
    <w:rsid w:val="00FF50EF"/>
    <w:rsid w:val="00FF7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9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A3A"/>
    <w:pPr>
      <w:spacing w:after="160" w:line="259" w:lineRule="auto"/>
    </w:pPr>
    <w:rPr>
      <w:rFonts w:ascii="Times New Roman" w:hAnsi="Times New Roman"/>
      <w:sz w:val="28"/>
      <w:szCs w:val="22"/>
      <w:lang w:val="vi-VN"/>
    </w:rPr>
  </w:style>
  <w:style w:type="paragraph" w:styleId="Heading1">
    <w:name w:val="heading 1"/>
    <w:aliases w:val="YKTVCP"/>
    <w:basedOn w:val="Normal"/>
    <w:next w:val="Normal"/>
    <w:link w:val="Heading1Char"/>
    <w:rsid w:val="002C10C8"/>
    <w:pPr>
      <w:keepNext/>
      <w:spacing w:before="120" w:after="120" w:line="340" w:lineRule="exact"/>
      <w:ind w:firstLine="567"/>
      <w:jc w:val="both"/>
      <w:outlineLvl w:val="0"/>
    </w:pPr>
    <w:rPr>
      <w:rFonts w:ascii="Times New Roman Bold" w:eastAsia="Times New Roman" w:hAnsi="Times New Roman Bold"/>
      <w:b/>
      <w:color w:val="000000" w:themeColor="text1"/>
      <w:szCs w:val="20"/>
      <w:lang w:val="en-US"/>
    </w:rPr>
  </w:style>
  <w:style w:type="paragraph" w:styleId="Heading2">
    <w:name w:val="heading 2"/>
    <w:basedOn w:val="Normal"/>
    <w:next w:val="Normal"/>
    <w:link w:val="Heading2Char"/>
    <w:qFormat/>
    <w:rsid w:val="00B60A3A"/>
    <w:pPr>
      <w:keepNext/>
      <w:spacing w:after="0" w:line="240" w:lineRule="auto"/>
      <w:jc w:val="center"/>
      <w:outlineLvl w:val="1"/>
    </w:pPr>
    <w:rPr>
      <w:rFonts w:eastAsia="Times New Roman"/>
      <w:i/>
      <w:szCs w:val="20"/>
      <w:lang w:val="en-US"/>
    </w:rPr>
  </w:style>
  <w:style w:type="paragraph" w:styleId="Heading4">
    <w:name w:val="heading 4"/>
    <w:basedOn w:val="Normal"/>
    <w:next w:val="Normal"/>
    <w:link w:val="Heading4Char"/>
    <w:qFormat/>
    <w:rsid w:val="00B60A3A"/>
    <w:pPr>
      <w:keepNext/>
      <w:spacing w:after="0" w:line="240" w:lineRule="auto"/>
      <w:jc w:val="center"/>
      <w:outlineLvl w:val="3"/>
    </w:pPr>
    <w:rPr>
      <w:rFonts w:eastAsia="Times New Roman"/>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YKTVCP Char"/>
    <w:link w:val="Heading1"/>
    <w:rsid w:val="002C10C8"/>
    <w:rPr>
      <w:rFonts w:ascii="Times New Roman Bold" w:eastAsia="Times New Roman" w:hAnsi="Times New Roman Bold"/>
      <w:b/>
      <w:color w:val="000000" w:themeColor="text1"/>
      <w:sz w:val="28"/>
    </w:rPr>
  </w:style>
  <w:style w:type="character" w:customStyle="1" w:styleId="Heading2Char">
    <w:name w:val="Heading 2 Char"/>
    <w:link w:val="Heading2"/>
    <w:rsid w:val="00B60A3A"/>
    <w:rPr>
      <w:rFonts w:ascii="Times New Roman" w:eastAsia="Times New Roman" w:hAnsi="Times New Roman" w:cs="Times New Roman"/>
      <w:i/>
      <w:sz w:val="28"/>
      <w:szCs w:val="20"/>
    </w:rPr>
  </w:style>
  <w:style w:type="character" w:customStyle="1" w:styleId="Heading4Char">
    <w:name w:val="Heading 4 Char"/>
    <w:link w:val="Heading4"/>
    <w:rsid w:val="00B60A3A"/>
    <w:rPr>
      <w:rFonts w:ascii="Times New Roman" w:eastAsia="Times New Roman" w:hAnsi="Times New Roman" w:cs="Times New Roman"/>
      <w:b/>
      <w:sz w:val="28"/>
      <w:szCs w:val="20"/>
    </w:rPr>
  </w:style>
  <w:style w:type="paragraph" w:styleId="BodyText">
    <w:name w:val="Body Text"/>
    <w:basedOn w:val="Normal"/>
    <w:link w:val="BodyTextChar"/>
    <w:rsid w:val="00B60A3A"/>
    <w:pPr>
      <w:spacing w:after="0" w:line="240" w:lineRule="auto"/>
    </w:pPr>
    <w:rPr>
      <w:rFonts w:eastAsia="Times New Roman"/>
      <w:b/>
      <w:sz w:val="26"/>
      <w:szCs w:val="20"/>
      <w:lang w:val="en-US"/>
    </w:rPr>
  </w:style>
  <w:style w:type="character" w:customStyle="1" w:styleId="BodyTextChar">
    <w:name w:val="Body Text Char"/>
    <w:link w:val="BodyText"/>
    <w:rsid w:val="00B60A3A"/>
    <w:rPr>
      <w:rFonts w:ascii="Times New Roman" w:eastAsia="Times New Roman" w:hAnsi="Times New Roman" w:cs="Times New Roman"/>
      <w:b/>
      <w:sz w:val="26"/>
      <w:szCs w:val="20"/>
    </w:rPr>
  </w:style>
  <w:style w:type="paragraph" w:styleId="ListParagraph">
    <w:name w:val="List Paragraph"/>
    <w:basedOn w:val="Normal"/>
    <w:uiPriority w:val="34"/>
    <w:qFormat/>
    <w:rsid w:val="00B60A3A"/>
    <w:pPr>
      <w:ind w:left="720"/>
      <w:contextualSpacing/>
    </w:pPr>
  </w:style>
  <w:style w:type="paragraph" w:styleId="FootnoteText">
    <w:name w:val="footnote text"/>
    <w:aliases w:val=" Char,Footnote Text Char Char Char Char Char,Footnote Text Char Char Char Char Char Char Ch,Footnote Text Char1 Char1,Footnote Text Char Char Char1,Footnote Text Char1 Char Char,Footnote Text Char Char Char Char Char Char Ch Char Char Char"/>
    <w:basedOn w:val="Normal"/>
    <w:link w:val="FootnoteTextChar"/>
    <w:uiPriority w:val="99"/>
    <w:unhideWhenUsed/>
    <w:qFormat/>
    <w:rsid w:val="000804CF"/>
    <w:pPr>
      <w:spacing w:after="0" w:line="240" w:lineRule="auto"/>
    </w:pPr>
    <w:rPr>
      <w:rFonts w:eastAsia="Times New Roman"/>
      <w:sz w:val="20"/>
      <w:szCs w:val="20"/>
      <w:lang w:val="en-US"/>
    </w:rPr>
  </w:style>
  <w:style w:type="character" w:customStyle="1" w:styleId="FootnoteTextChar">
    <w:name w:val="Footnote Text Char"/>
    <w:aliases w:val=" Char Char,Footnote Text Char Char Char Char Char Char,Footnote Text Char Char Char Char Char Char Ch Char,Footnote Text Char1 Char1 Char,Footnote Text Char Char Char1 Char,Footnote Text Char1 Char Char Char"/>
    <w:link w:val="FootnoteText"/>
    <w:uiPriority w:val="99"/>
    <w:rsid w:val="000804CF"/>
    <w:rPr>
      <w:rFonts w:ascii="Times New Roman" w:eastAsia="Times New Roman" w:hAnsi="Times New Roman" w:cs="Times New Roman"/>
      <w:sz w:val="20"/>
      <w:szCs w:val="20"/>
    </w:rPr>
  </w:style>
  <w:style w:type="character" w:styleId="FootnoteReference">
    <w:name w:val="footnote reference"/>
    <w:aliases w:val="Footnote text,Footnote,Footnote text + 13 pt,Ref,de nota al pie,ftref,Footnote Text1,Footnote dich,4_G,BearingPoint,16 Point,Superscript 6 Point,fr,Footnote Text Char Char Char Char Char Char Ch Char Char Char Char Char Char C,10 p,4_"/>
    <w:link w:val="RefChar"/>
    <w:uiPriority w:val="99"/>
    <w:unhideWhenUsed/>
    <w:qFormat/>
    <w:rsid w:val="000804CF"/>
    <w:rPr>
      <w:vertAlign w:val="superscript"/>
    </w:rPr>
  </w:style>
  <w:style w:type="paragraph" w:styleId="Header">
    <w:name w:val="header"/>
    <w:basedOn w:val="Normal"/>
    <w:link w:val="HeaderChar"/>
    <w:uiPriority w:val="99"/>
    <w:unhideWhenUsed/>
    <w:rsid w:val="00977DF6"/>
    <w:pPr>
      <w:tabs>
        <w:tab w:val="center" w:pos="4680"/>
        <w:tab w:val="right" w:pos="9360"/>
      </w:tabs>
      <w:spacing w:after="0" w:line="240" w:lineRule="auto"/>
    </w:pPr>
  </w:style>
  <w:style w:type="character" w:customStyle="1" w:styleId="HeaderChar">
    <w:name w:val="Header Char"/>
    <w:link w:val="Header"/>
    <w:uiPriority w:val="99"/>
    <w:rsid w:val="00977DF6"/>
    <w:rPr>
      <w:rFonts w:ascii="Times New Roman" w:hAnsi="Times New Roman"/>
      <w:sz w:val="28"/>
      <w:lang w:val="vi-VN"/>
    </w:rPr>
  </w:style>
  <w:style w:type="paragraph" w:styleId="Footer">
    <w:name w:val="footer"/>
    <w:basedOn w:val="Normal"/>
    <w:link w:val="FooterChar"/>
    <w:uiPriority w:val="99"/>
    <w:unhideWhenUsed/>
    <w:rsid w:val="00977DF6"/>
    <w:pPr>
      <w:tabs>
        <w:tab w:val="center" w:pos="4680"/>
        <w:tab w:val="right" w:pos="9360"/>
      </w:tabs>
      <w:spacing w:after="0" w:line="240" w:lineRule="auto"/>
    </w:pPr>
  </w:style>
  <w:style w:type="character" w:customStyle="1" w:styleId="FooterChar">
    <w:name w:val="Footer Char"/>
    <w:link w:val="Footer"/>
    <w:uiPriority w:val="99"/>
    <w:rsid w:val="00977DF6"/>
    <w:rPr>
      <w:rFonts w:ascii="Times New Roman" w:hAnsi="Times New Roman"/>
      <w:sz w:val="28"/>
      <w:lang w:val="vi-VN"/>
    </w:rPr>
  </w:style>
  <w:style w:type="paragraph" w:styleId="BalloonText">
    <w:name w:val="Balloon Text"/>
    <w:basedOn w:val="Normal"/>
    <w:link w:val="BalloonTextChar"/>
    <w:uiPriority w:val="99"/>
    <w:semiHidden/>
    <w:unhideWhenUsed/>
    <w:rsid w:val="003B62B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B62BF"/>
    <w:rPr>
      <w:rFonts w:ascii="Segoe UI" w:hAnsi="Segoe UI" w:cs="Segoe UI"/>
      <w:sz w:val="18"/>
      <w:szCs w:val="18"/>
      <w:lang w:val="vi-VN"/>
    </w:rPr>
  </w:style>
  <w:style w:type="paragraph" w:styleId="NormalWeb">
    <w:name w:val="Normal (Web)"/>
    <w:basedOn w:val="Normal"/>
    <w:uiPriority w:val="99"/>
    <w:unhideWhenUsed/>
    <w:rsid w:val="007C43D4"/>
    <w:pPr>
      <w:spacing w:before="100" w:beforeAutospacing="1" w:after="100" w:afterAutospacing="1" w:line="240" w:lineRule="auto"/>
    </w:pPr>
    <w:rPr>
      <w:rFonts w:eastAsia="Times New Roman"/>
      <w:sz w:val="24"/>
      <w:szCs w:val="24"/>
      <w:lang w:val="en-US"/>
    </w:rPr>
  </w:style>
  <w:style w:type="character" w:styleId="Strong">
    <w:name w:val="Strong"/>
    <w:uiPriority w:val="22"/>
    <w:qFormat/>
    <w:rsid w:val="00970ACF"/>
    <w:rPr>
      <w:b/>
      <w:bCs/>
    </w:rPr>
  </w:style>
  <w:style w:type="paragraph" w:styleId="Revision">
    <w:name w:val="Revision"/>
    <w:hidden/>
    <w:uiPriority w:val="99"/>
    <w:semiHidden/>
    <w:rsid w:val="00283115"/>
    <w:rPr>
      <w:rFonts w:ascii="Times New Roman" w:hAnsi="Times New Roman"/>
      <w:sz w:val="28"/>
      <w:szCs w:val="22"/>
      <w:lang w:val="vi-VN"/>
    </w:rPr>
  </w:style>
  <w:style w:type="paragraph" w:styleId="Title">
    <w:name w:val="Title"/>
    <w:aliases w:val="Title Unauto"/>
    <w:basedOn w:val="Normal"/>
    <w:next w:val="Heading1"/>
    <w:link w:val="TitleChar"/>
    <w:qFormat/>
    <w:rsid w:val="00CA466F"/>
    <w:pPr>
      <w:autoSpaceDE w:val="0"/>
      <w:autoSpaceDN w:val="0"/>
      <w:adjustRightInd w:val="0"/>
      <w:spacing w:before="120" w:after="120" w:line="360" w:lineRule="exact"/>
      <w:ind w:firstLine="567"/>
      <w:jc w:val="both"/>
    </w:pPr>
    <w:rPr>
      <w:rFonts w:eastAsia="MS Mincho"/>
      <w:b/>
      <w:bCs/>
      <w:color w:val="000000"/>
      <w:szCs w:val="32"/>
      <w:lang w:val="x-none" w:eastAsia="x-none"/>
    </w:rPr>
  </w:style>
  <w:style w:type="character" w:customStyle="1" w:styleId="TitleChar">
    <w:name w:val="Title Char"/>
    <w:aliases w:val="Title Unauto Char"/>
    <w:link w:val="Title"/>
    <w:rsid w:val="00CA466F"/>
    <w:rPr>
      <w:rFonts w:ascii="Times New Roman" w:eastAsia="MS Mincho" w:hAnsi="Times New Roman"/>
      <w:b/>
      <w:bCs/>
      <w:color w:val="000000"/>
      <w:sz w:val="28"/>
      <w:szCs w:val="32"/>
      <w:lang w:val="x-none" w:eastAsia="x-none"/>
    </w:rPr>
  </w:style>
  <w:style w:type="character" w:styleId="Hyperlink">
    <w:name w:val="Hyperlink"/>
    <w:unhideWhenUsed/>
    <w:rsid w:val="00B31DBB"/>
    <w:rPr>
      <w:color w:val="0000FF"/>
      <w:u w:val="single"/>
    </w:rPr>
  </w:style>
  <w:style w:type="character" w:styleId="CommentReference">
    <w:name w:val="annotation reference"/>
    <w:basedOn w:val="DefaultParagraphFont"/>
    <w:uiPriority w:val="99"/>
    <w:unhideWhenUsed/>
    <w:rsid w:val="005E7639"/>
    <w:rPr>
      <w:sz w:val="16"/>
      <w:szCs w:val="16"/>
    </w:rPr>
  </w:style>
  <w:style w:type="paragraph" w:styleId="CommentText">
    <w:name w:val="annotation text"/>
    <w:basedOn w:val="Normal"/>
    <w:link w:val="CommentTextChar"/>
    <w:uiPriority w:val="99"/>
    <w:unhideWhenUsed/>
    <w:rsid w:val="005E7639"/>
    <w:pPr>
      <w:spacing w:line="240" w:lineRule="auto"/>
    </w:pPr>
    <w:rPr>
      <w:sz w:val="20"/>
      <w:szCs w:val="20"/>
    </w:rPr>
  </w:style>
  <w:style w:type="character" w:customStyle="1" w:styleId="CommentTextChar">
    <w:name w:val="Comment Text Char"/>
    <w:basedOn w:val="DefaultParagraphFont"/>
    <w:link w:val="CommentText"/>
    <w:uiPriority w:val="99"/>
    <w:rsid w:val="005E7639"/>
    <w:rPr>
      <w:rFonts w:ascii="Times New Roman" w:hAnsi="Times New Roman"/>
      <w:lang w:val="vi-VN"/>
    </w:rPr>
  </w:style>
  <w:style w:type="paragraph" w:styleId="CommentSubject">
    <w:name w:val="annotation subject"/>
    <w:basedOn w:val="CommentText"/>
    <w:next w:val="CommentText"/>
    <w:link w:val="CommentSubjectChar"/>
    <w:uiPriority w:val="99"/>
    <w:semiHidden/>
    <w:unhideWhenUsed/>
    <w:rsid w:val="005E7639"/>
    <w:rPr>
      <w:b/>
      <w:bCs/>
    </w:rPr>
  </w:style>
  <w:style w:type="character" w:customStyle="1" w:styleId="CommentSubjectChar">
    <w:name w:val="Comment Subject Char"/>
    <w:basedOn w:val="CommentTextChar"/>
    <w:link w:val="CommentSubject"/>
    <w:uiPriority w:val="99"/>
    <w:semiHidden/>
    <w:rsid w:val="005E7639"/>
    <w:rPr>
      <w:rFonts w:ascii="Times New Roman" w:hAnsi="Times New Roman"/>
      <w:b/>
      <w:bCs/>
      <w:lang w:val="vi-VN"/>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qFormat/>
    <w:rsid w:val="00F90873"/>
    <w:pPr>
      <w:spacing w:line="240" w:lineRule="exact"/>
    </w:pPr>
    <w:rPr>
      <w:rFonts w:ascii="Calibri" w:hAnsi="Calibri"/>
      <w:sz w:val="20"/>
      <w:szCs w:val="20"/>
      <w:vertAlign w:val="superscript"/>
      <w:lang w:val="en-US"/>
    </w:rPr>
  </w:style>
  <w:style w:type="paragraph" w:styleId="BodyText2">
    <w:name w:val="Body Text 2"/>
    <w:basedOn w:val="Normal"/>
    <w:link w:val="BodyText2Char"/>
    <w:rsid w:val="0099402B"/>
    <w:pPr>
      <w:spacing w:after="120" w:line="480" w:lineRule="auto"/>
    </w:pPr>
    <w:rPr>
      <w:rFonts w:eastAsia="Times New Roman"/>
      <w:szCs w:val="28"/>
      <w:lang w:val="en-US"/>
    </w:rPr>
  </w:style>
  <w:style w:type="character" w:customStyle="1" w:styleId="BodyText2Char">
    <w:name w:val="Body Text 2 Char"/>
    <w:basedOn w:val="DefaultParagraphFont"/>
    <w:link w:val="BodyText2"/>
    <w:rsid w:val="0099402B"/>
    <w:rPr>
      <w:rFonts w:ascii="Times New Roman" w:eastAsia="Times New Roman" w:hAnsi="Times New Roman"/>
      <w:sz w:val="28"/>
      <w:szCs w:val="28"/>
    </w:rPr>
  </w:style>
  <w:style w:type="character" w:customStyle="1" w:styleId="fontstyle01">
    <w:name w:val="fontstyle01"/>
    <w:basedOn w:val="DefaultParagraphFont"/>
    <w:rsid w:val="00054F30"/>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054F30"/>
    <w:rPr>
      <w:rFonts w:ascii="TimesNewRomanPSMT" w:hAnsi="TimesNewRomanPSMT" w:hint="default"/>
      <w:b w:val="0"/>
      <w:bCs w:val="0"/>
      <w:i w:val="0"/>
      <w:iCs w:val="0"/>
      <w:color w:val="000000"/>
      <w:sz w:val="28"/>
      <w:szCs w:val="28"/>
    </w:rPr>
  </w:style>
  <w:style w:type="character" w:styleId="Emphasis">
    <w:name w:val="Emphasis"/>
    <w:uiPriority w:val="20"/>
    <w:qFormat/>
    <w:rsid w:val="00402F39"/>
    <w:rPr>
      <w:i/>
      <w:iCs/>
    </w:rPr>
  </w:style>
  <w:style w:type="character" w:customStyle="1" w:styleId="title-h1">
    <w:name w:val="title-h1"/>
    <w:rsid w:val="00402F39"/>
    <w:rPr>
      <w:rFonts w:ascii=".VnTimeH" w:hAnsi=".VnTimeH" w:hint="default"/>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A3A"/>
    <w:pPr>
      <w:spacing w:after="160" w:line="259" w:lineRule="auto"/>
    </w:pPr>
    <w:rPr>
      <w:rFonts w:ascii="Times New Roman" w:hAnsi="Times New Roman"/>
      <w:sz w:val="28"/>
      <w:szCs w:val="22"/>
      <w:lang w:val="vi-VN"/>
    </w:rPr>
  </w:style>
  <w:style w:type="paragraph" w:styleId="Heading1">
    <w:name w:val="heading 1"/>
    <w:aliases w:val="YKTVCP"/>
    <w:basedOn w:val="Normal"/>
    <w:next w:val="Normal"/>
    <w:link w:val="Heading1Char"/>
    <w:rsid w:val="002C10C8"/>
    <w:pPr>
      <w:keepNext/>
      <w:spacing w:before="120" w:after="120" w:line="340" w:lineRule="exact"/>
      <w:ind w:firstLine="567"/>
      <w:jc w:val="both"/>
      <w:outlineLvl w:val="0"/>
    </w:pPr>
    <w:rPr>
      <w:rFonts w:ascii="Times New Roman Bold" w:eastAsia="Times New Roman" w:hAnsi="Times New Roman Bold"/>
      <w:b/>
      <w:color w:val="000000" w:themeColor="text1"/>
      <w:szCs w:val="20"/>
      <w:lang w:val="en-US"/>
    </w:rPr>
  </w:style>
  <w:style w:type="paragraph" w:styleId="Heading2">
    <w:name w:val="heading 2"/>
    <w:basedOn w:val="Normal"/>
    <w:next w:val="Normal"/>
    <w:link w:val="Heading2Char"/>
    <w:qFormat/>
    <w:rsid w:val="00B60A3A"/>
    <w:pPr>
      <w:keepNext/>
      <w:spacing w:after="0" w:line="240" w:lineRule="auto"/>
      <w:jc w:val="center"/>
      <w:outlineLvl w:val="1"/>
    </w:pPr>
    <w:rPr>
      <w:rFonts w:eastAsia="Times New Roman"/>
      <w:i/>
      <w:szCs w:val="20"/>
      <w:lang w:val="en-US"/>
    </w:rPr>
  </w:style>
  <w:style w:type="paragraph" w:styleId="Heading4">
    <w:name w:val="heading 4"/>
    <w:basedOn w:val="Normal"/>
    <w:next w:val="Normal"/>
    <w:link w:val="Heading4Char"/>
    <w:qFormat/>
    <w:rsid w:val="00B60A3A"/>
    <w:pPr>
      <w:keepNext/>
      <w:spacing w:after="0" w:line="240" w:lineRule="auto"/>
      <w:jc w:val="center"/>
      <w:outlineLvl w:val="3"/>
    </w:pPr>
    <w:rPr>
      <w:rFonts w:eastAsia="Times New Roman"/>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YKTVCP Char"/>
    <w:link w:val="Heading1"/>
    <w:rsid w:val="002C10C8"/>
    <w:rPr>
      <w:rFonts w:ascii="Times New Roman Bold" w:eastAsia="Times New Roman" w:hAnsi="Times New Roman Bold"/>
      <w:b/>
      <w:color w:val="000000" w:themeColor="text1"/>
      <w:sz w:val="28"/>
    </w:rPr>
  </w:style>
  <w:style w:type="character" w:customStyle="1" w:styleId="Heading2Char">
    <w:name w:val="Heading 2 Char"/>
    <w:link w:val="Heading2"/>
    <w:rsid w:val="00B60A3A"/>
    <w:rPr>
      <w:rFonts w:ascii="Times New Roman" w:eastAsia="Times New Roman" w:hAnsi="Times New Roman" w:cs="Times New Roman"/>
      <w:i/>
      <w:sz w:val="28"/>
      <w:szCs w:val="20"/>
    </w:rPr>
  </w:style>
  <w:style w:type="character" w:customStyle="1" w:styleId="Heading4Char">
    <w:name w:val="Heading 4 Char"/>
    <w:link w:val="Heading4"/>
    <w:rsid w:val="00B60A3A"/>
    <w:rPr>
      <w:rFonts w:ascii="Times New Roman" w:eastAsia="Times New Roman" w:hAnsi="Times New Roman" w:cs="Times New Roman"/>
      <w:b/>
      <w:sz w:val="28"/>
      <w:szCs w:val="20"/>
    </w:rPr>
  </w:style>
  <w:style w:type="paragraph" w:styleId="BodyText">
    <w:name w:val="Body Text"/>
    <w:basedOn w:val="Normal"/>
    <w:link w:val="BodyTextChar"/>
    <w:rsid w:val="00B60A3A"/>
    <w:pPr>
      <w:spacing w:after="0" w:line="240" w:lineRule="auto"/>
    </w:pPr>
    <w:rPr>
      <w:rFonts w:eastAsia="Times New Roman"/>
      <w:b/>
      <w:sz w:val="26"/>
      <w:szCs w:val="20"/>
      <w:lang w:val="en-US"/>
    </w:rPr>
  </w:style>
  <w:style w:type="character" w:customStyle="1" w:styleId="BodyTextChar">
    <w:name w:val="Body Text Char"/>
    <w:link w:val="BodyText"/>
    <w:rsid w:val="00B60A3A"/>
    <w:rPr>
      <w:rFonts w:ascii="Times New Roman" w:eastAsia="Times New Roman" w:hAnsi="Times New Roman" w:cs="Times New Roman"/>
      <w:b/>
      <w:sz w:val="26"/>
      <w:szCs w:val="20"/>
    </w:rPr>
  </w:style>
  <w:style w:type="paragraph" w:styleId="ListParagraph">
    <w:name w:val="List Paragraph"/>
    <w:basedOn w:val="Normal"/>
    <w:uiPriority w:val="34"/>
    <w:qFormat/>
    <w:rsid w:val="00B60A3A"/>
    <w:pPr>
      <w:ind w:left="720"/>
      <w:contextualSpacing/>
    </w:pPr>
  </w:style>
  <w:style w:type="paragraph" w:styleId="FootnoteText">
    <w:name w:val="footnote text"/>
    <w:aliases w:val=" Char,Footnote Text Char Char Char Char Char,Footnote Text Char Char Char Char Char Char Ch,Footnote Text Char1 Char1,Footnote Text Char Char Char1,Footnote Text Char1 Char Char,Footnote Text Char Char Char Char Char Char Ch Char Char Char"/>
    <w:basedOn w:val="Normal"/>
    <w:link w:val="FootnoteTextChar"/>
    <w:uiPriority w:val="99"/>
    <w:unhideWhenUsed/>
    <w:qFormat/>
    <w:rsid w:val="000804CF"/>
    <w:pPr>
      <w:spacing w:after="0" w:line="240" w:lineRule="auto"/>
    </w:pPr>
    <w:rPr>
      <w:rFonts w:eastAsia="Times New Roman"/>
      <w:sz w:val="20"/>
      <w:szCs w:val="20"/>
      <w:lang w:val="en-US"/>
    </w:rPr>
  </w:style>
  <w:style w:type="character" w:customStyle="1" w:styleId="FootnoteTextChar">
    <w:name w:val="Footnote Text Char"/>
    <w:aliases w:val=" Char Char,Footnote Text Char Char Char Char Char Char,Footnote Text Char Char Char Char Char Char Ch Char,Footnote Text Char1 Char1 Char,Footnote Text Char Char Char1 Char,Footnote Text Char1 Char Char Char"/>
    <w:link w:val="FootnoteText"/>
    <w:uiPriority w:val="99"/>
    <w:rsid w:val="000804CF"/>
    <w:rPr>
      <w:rFonts w:ascii="Times New Roman" w:eastAsia="Times New Roman" w:hAnsi="Times New Roman" w:cs="Times New Roman"/>
      <w:sz w:val="20"/>
      <w:szCs w:val="20"/>
    </w:rPr>
  </w:style>
  <w:style w:type="character" w:styleId="FootnoteReference">
    <w:name w:val="footnote reference"/>
    <w:aliases w:val="Footnote text,Footnote,Footnote text + 13 pt,Ref,de nota al pie,ftref,Footnote Text1,Footnote dich,4_G,BearingPoint,16 Point,Superscript 6 Point,fr,Footnote Text Char Char Char Char Char Char Ch Char Char Char Char Char Char C,10 p,4_"/>
    <w:link w:val="RefChar"/>
    <w:uiPriority w:val="99"/>
    <w:unhideWhenUsed/>
    <w:qFormat/>
    <w:rsid w:val="000804CF"/>
    <w:rPr>
      <w:vertAlign w:val="superscript"/>
    </w:rPr>
  </w:style>
  <w:style w:type="paragraph" w:styleId="Header">
    <w:name w:val="header"/>
    <w:basedOn w:val="Normal"/>
    <w:link w:val="HeaderChar"/>
    <w:uiPriority w:val="99"/>
    <w:unhideWhenUsed/>
    <w:rsid w:val="00977DF6"/>
    <w:pPr>
      <w:tabs>
        <w:tab w:val="center" w:pos="4680"/>
        <w:tab w:val="right" w:pos="9360"/>
      </w:tabs>
      <w:spacing w:after="0" w:line="240" w:lineRule="auto"/>
    </w:pPr>
  </w:style>
  <w:style w:type="character" w:customStyle="1" w:styleId="HeaderChar">
    <w:name w:val="Header Char"/>
    <w:link w:val="Header"/>
    <w:uiPriority w:val="99"/>
    <w:rsid w:val="00977DF6"/>
    <w:rPr>
      <w:rFonts w:ascii="Times New Roman" w:hAnsi="Times New Roman"/>
      <w:sz w:val="28"/>
      <w:lang w:val="vi-VN"/>
    </w:rPr>
  </w:style>
  <w:style w:type="paragraph" w:styleId="Footer">
    <w:name w:val="footer"/>
    <w:basedOn w:val="Normal"/>
    <w:link w:val="FooterChar"/>
    <w:uiPriority w:val="99"/>
    <w:unhideWhenUsed/>
    <w:rsid w:val="00977DF6"/>
    <w:pPr>
      <w:tabs>
        <w:tab w:val="center" w:pos="4680"/>
        <w:tab w:val="right" w:pos="9360"/>
      </w:tabs>
      <w:spacing w:after="0" w:line="240" w:lineRule="auto"/>
    </w:pPr>
  </w:style>
  <w:style w:type="character" w:customStyle="1" w:styleId="FooterChar">
    <w:name w:val="Footer Char"/>
    <w:link w:val="Footer"/>
    <w:uiPriority w:val="99"/>
    <w:rsid w:val="00977DF6"/>
    <w:rPr>
      <w:rFonts w:ascii="Times New Roman" w:hAnsi="Times New Roman"/>
      <w:sz w:val="28"/>
      <w:lang w:val="vi-VN"/>
    </w:rPr>
  </w:style>
  <w:style w:type="paragraph" w:styleId="BalloonText">
    <w:name w:val="Balloon Text"/>
    <w:basedOn w:val="Normal"/>
    <w:link w:val="BalloonTextChar"/>
    <w:uiPriority w:val="99"/>
    <w:semiHidden/>
    <w:unhideWhenUsed/>
    <w:rsid w:val="003B62B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B62BF"/>
    <w:rPr>
      <w:rFonts w:ascii="Segoe UI" w:hAnsi="Segoe UI" w:cs="Segoe UI"/>
      <w:sz w:val="18"/>
      <w:szCs w:val="18"/>
      <w:lang w:val="vi-VN"/>
    </w:rPr>
  </w:style>
  <w:style w:type="paragraph" w:styleId="NormalWeb">
    <w:name w:val="Normal (Web)"/>
    <w:basedOn w:val="Normal"/>
    <w:uiPriority w:val="99"/>
    <w:unhideWhenUsed/>
    <w:rsid w:val="007C43D4"/>
    <w:pPr>
      <w:spacing w:before="100" w:beforeAutospacing="1" w:after="100" w:afterAutospacing="1" w:line="240" w:lineRule="auto"/>
    </w:pPr>
    <w:rPr>
      <w:rFonts w:eastAsia="Times New Roman"/>
      <w:sz w:val="24"/>
      <w:szCs w:val="24"/>
      <w:lang w:val="en-US"/>
    </w:rPr>
  </w:style>
  <w:style w:type="character" w:styleId="Strong">
    <w:name w:val="Strong"/>
    <w:uiPriority w:val="22"/>
    <w:qFormat/>
    <w:rsid w:val="00970ACF"/>
    <w:rPr>
      <w:b/>
      <w:bCs/>
    </w:rPr>
  </w:style>
  <w:style w:type="paragraph" w:styleId="Revision">
    <w:name w:val="Revision"/>
    <w:hidden/>
    <w:uiPriority w:val="99"/>
    <w:semiHidden/>
    <w:rsid w:val="00283115"/>
    <w:rPr>
      <w:rFonts w:ascii="Times New Roman" w:hAnsi="Times New Roman"/>
      <w:sz w:val="28"/>
      <w:szCs w:val="22"/>
      <w:lang w:val="vi-VN"/>
    </w:rPr>
  </w:style>
  <w:style w:type="paragraph" w:styleId="Title">
    <w:name w:val="Title"/>
    <w:aliases w:val="Title Unauto"/>
    <w:basedOn w:val="Normal"/>
    <w:next w:val="Heading1"/>
    <w:link w:val="TitleChar"/>
    <w:qFormat/>
    <w:rsid w:val="00CA466F"/>
    <w:pPr>
      <w:autoSpaceDE w:val="0"/>
      <w:autoSpaceDN w:val="0"/>
      <w:adjustRightInd w:val="0"/>
      <w:spacing w:before="120" w:after="120" w:line="360" w:lineRule="exact"/>
      <w:ind w:firstLine="567"/>
      <w:jc w:val="both"/>
    </w:pPr>
    <w:rPr>
      <w:rFonts w:eastAsia="MS Mincho"/>
      <w:b/>
      <w:bCs/>
      <w:color w:val="000000"/>
      <w:szCs w:val="32"/>
      <w:lang w:val="x-none" w:eastAsia="x-none"/>
    </w:rPr>
  </w:style>
  <w:style w:type="character" w:customStyle="1" w:styleId="TitleChar">
    <w:name w:val="Title Char"/>
    <w:aliases w:val="Title Unauto Char"/>
    <w:link w:val="Title"/>
    <w:rsid w:val="00CA466F"/>
    <w:rPr>
      <w:rFonts w:ascii="Times New Roman" w:eastAsia="MS Mincho" w:hAnsi="Times New Roman"/>
      <w:b/>
      <w:bCs/>
      <w:color w:val="000000"/>
      <w:sz w:val="28"/>
      <w:szCs w:val="32"/>
      <w:lang w:val="x-none" w:eastAsia="x-none"/>
    </w:rPr>
  </w:style>
  <w:style w:type="character" w:styleId="Hyperlink">
    <w:name w:val="Hyperlink"/>
    <w:unhideWhenUsed/>
    <w:rsid w:val="00B31DBB"/>
    <w:rPr>
      <w:color w:val="0000FF"/>
      <w:u w:val="single"/>
    </w:rPr>
  </w:style>
  <w:style w:type="character" w:styleId="CommentReference">
    <w:name w:val="annotation reference"/>
    <w:basedOn w:val="DefaultParagraphFont"/>
    <w:uiPriority w:val="99"/>
    <w:unhideWhenUsed/>
    <w:rsid w:val="005E7639"/>
    <w:rPr>
      <w:sz w:val="16"/>
      <w:szCs w:val="16"/>
    </w:rPr>
  </w:style>
  <w:style w:type="paragraph" w:styleId="CommentText">
    <w:name w:val="annotation text"/>
    <w:basedOn w:val="Normal"/>
    <w:link w:val="CommentTextChar"/>
    <w:uiPriority w:val="99"/>
    <w:unhideWhenUsed/>
    <w:rsid w:val="005E7639"/>
    <w:pPr>
      <w:spacing w:line="240" w:lineRule="auto"/>
    </w:pPr>
    <w:rPr>
      <w:sz w:val="20"/>
      <w:szCs w:val="20"/>
    </w:rPr>
  </w:style>
  <w:style w:type="character" w:customStyle="1" w:styleId="CommentTextChar">
    <w:name w:val="Comment Text Char"/>
    <w:basedOn w:val="DefaultParagraphFont"/>
    <w:link w:val="CommentText"/>
    <w:uiPriority w:val="99"/>
    <w:rsid w:val="005E7639"/>
    <w:rPr>
      <w:rFonts w:ascii="Times New Roman" w:hAnsi="Times New Roman"/>
      <w:lang w:val="vi-VN"/>
    </w:rPr>
  </w:style>
  <w:style w:type="paragraph" w:styleId="CommentSubject">
    <w:name w:val="annotation subject"/>
    <w:basedOn w:val="CommentText"/>
    <w:next w:val="CommentText"/>
    <w:link w:val="CommentSubjectChar"/>
    <w:uiPriority w:val="99"/>
    <w:semiHidden/>
    <w:unhideWhenUsed/>
    <w:rsid w:val="005E7639"/>
    <w:rPr>
      <w:b/>
      <w:bCs/>
    </w:rPr>
  </w:style>
  <w:style w:type="character" w:customStyle="1" w:styleId="CommentSubjectChar">
    <w:name w:val="Comment Subject Char"/>
    <w:basedOn w:val="CommentTextChar"/>
    <w:link w:val="CommentSubject"/>
    <w:uiPriority w:val="99"/>
    <w:semiHidden/>
    <w:rsid w:val="005E7639"/>
    <w:rPr>
      <w:rFonts w:ascii="Times New Roman" w:hAnsi="Times New Roman"/>
      <w:b/>
      <w:bCs/>
      <w:lang w:val="vi-VN"/>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qFormat/>
    <w:rsid w:val="00F90873"/>
    <w:pPr>
      <w:spacing w:line="240" w:lineRule="exact"/>
    </w:pPr>
    <w:rPr>
      <w:rFonts w:ascii="Calibri" w:hAnsi="Calibri"/>
      <w:sz w:val="20"/>
      <w:szCs w:val="20"/>
      <w:vertAlign w:val="superscript"/>
      <w:lang w:val="en-US"/>
    </w:rPr>
  </w:style>
  <w:style w:type="paragraph" w:styleId="BodyText2">
    <w:name w:val="Body Text 2"/>
    <w:basedOn w:val="Normal"/>
    <w:link w:val="BodyText2Char"/>
    <w:rsid w:val="0099402B"/>
    <w:pPr>
      <w:spacing w:after="120" w:line="480" w:lineRule="auto"/>
    </w:pPr>
    <w:rPr>
      <w:rFonts w:eastAsia="Times New Roman"/>
      <w:szCs w:val="28"/>
      <w:lang w:val="en-US"/>
    </w:rPr>
  </w:style>
  <w:style w:type="character" w:customStyle="1" w:styleId="BodyText2Char">
    <w:name w:val="Body Text 2 Char"/>
    <w:basedOn w:val="DefaultParagraphFont"/>
    <w:link w:val="BodyText2"/>
    <w:rsid w:val="0099402B"/>
    <w:rPr>
      <w:rFonts w:ascii="Times New Roman" w:eastAsia="Times New Roman" w:hAnsi="Times New Roman"/>
      <w:sz w:val="28"/>
      <w:szCs w:val="28"/>
    </w:rPr>
  </w:style>
  <w:style w:type="character" w:customStyle="1" w:styleId="fontstyle01">
    <w:name w:val="fontstyle01"/>
    <w:basedOn w:val="DefaultParagraphFont"/>
    <w:rsid w:val="00054F30"/>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054F30"/>
    <w:rPr>
      <w:rFonts w:ascii="TimesNewRomanPSMT" w:hAnsi="TimesNewRomanPSMT" w:hint="default"/>
      <w:b w:val="0"/>
      <w:bCs w:val="0"/>
      <w:i w:val="0"/>
      <w:iCs w:val="0"/>
      <w:color w:val="000000"/>
      <w:sz w:val="28"/>
      <w:szCs w:val="28"/>
    </w:rPr>
  </w:style>
  <w:style w:type="character" w:styleId="Emphasis">
    <w:name w:val="Emphasis"/>
    <w:uiPriority w:val="20"/>
    <w:qFormat/>
    <w:rsid w:val="00402F39"/>
    <w:rPr>
      <w:i/>
      <w:iCs/>
    </w:rPr>
  </w:style>
  <w:style w:type="character" w:customStyle="1" w:styleId="title-h1">
    <w:name w:val="title-h1"/>
    <w:rsid w:val="00402F39"/>
    <w:rPr>
      <w:rFonts w:ascii=".VnTimeH" w:hAnsi=".VnTimeH" w:hint="default"/>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81409">
      <w:bodyDiv w:val="1"/>
      <w:marLeft w:val="0"/>
      <w:marRight w:val="0"/>
      <w:marTop w:val="0"/>
      <w:marBottom w:val="0"/>
      <w:divBdr>
        <w:top w:val="none" w:sz="0" w:space="0" w:color="auto"/>
        <w:left w:val="none" w:sz="0" w:space="0" w:color="auto"/>
        <w:bottom w:val="none" w:sz="0" w:space="0" w:color="auto"/>
        <w:right w:val="none" w:sz="0" w:space="0" w:color="auto"/>
      </w:divBdr>
    </w:div>
    <w:div w:id="239951243">
      <w:bodyDiv w:val="1"/>
      <w:marLeft w:val="0"/>
      <w:marRight w:val="0"/>
      <w:marTop w:val="0"/>
      <w:marBottom w:val="0"/>
      <w:divBdr>
        <w:top w:val="none" w:sz="0" w:space="0" w:color="auto"/>
        <w:left w:val="none" w:sz="0" w:space="0" w:color="auto"/>
        <w:bottom w:val="none" w:sz="0" w:space="0" w:color="auto"/>
        <w:right w:val="none" w:sz="0" w:space="0" w:color="auto"/>
      </w:divBdr>
    </w:div>
    <w:div w:id="898975519">
      <w:bodyDiv w:val="1"/>
      <w:marLeft w:val="0"/>
      <w:marRight w:val="0"/>
      <w:marTop w:val="0"/>
      <w:marBottom w:val="0"/>
      <w:divBdr>
        <w:top w:val="none" w:sz="0" w:space="0" w:color="auto"/>
        <w:left w:val="none" w:sz="0" w:space="0" w:color="auto"/>
        <w:bottom w:val="none" w:sz="0" w:space="0" w:color="auto"/>
        <w:right w:val="none" w:sz="0" w:space="0" w:color="auto"/>
      </w:divBdr>
    </w:div>
    <w:div w:id="922689312">
      <w:bodyDiv w:val="1"/>
      <w:marLeft w:val="0"/>
      <w:marRight w:val="0"/>
      <w:marTop w:val="0"/>
      <w:marBottom w:val="0"/>
      <w:divBdr>
        <w:top w:val="none" w:sz="0" w:space="0" w:color="auto"/>
        <w:left w:val="none" w:sz="0" w:space="0" w:color="auto"/>
        <w:bottom w:val="none" w:sz="0" w:space="0" w:color="auto"/>
        <w:right w:val="none" w:sz="0" w:space="0" w:color="auto"/>
      </w:divBdr>
    </w:div>
    <w:div w:id="1324357649">
      <w:bodyDiv w:val="1"/>
      <w:marLeft w:val="0"/>
      <w:marRight w:val="0"/>
      <w:marTop w:val="0"/>
      <w:marBottom w:val="0"/>
      <w:divBdr>
        <w:top w:val="none" w:sz="0" w:space="0" w:color="auto"/>
        <w:left w:val="none" w:sz="0" w:space="0" w:color="auto"/>
        <w:bottom w:val="none" w:sz="0" w:space="0" w:color="auto"/>
        <w:right w:val="none" w:sz="0" w:space="0" w:color="auto"/>
      </w:divBdr>
    </w:div>
    <w:div w:id="208634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thuvienphapluat.vn/van-ban/Bo-may-hanh-chinh/Hien-phap-nam-2013-21562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CE989-7F96-4B63-9424-E2323B4EF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4796</Words>
  <Characters>27342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32074</CharactersWithSpaces>
  <SharedDoc>false</SharedDoc>
  <HLinks>
    <vt:vector size="6" baseType="variant">
      <vt:variant>
        <vt:i4>8257633</vt:i4>
      </vt:variant>
      <vt:variant>
        <vt:i4>0</vt:i4>
      </vt:variant>
      <vt:variant>
        <vt:i4>0</vt:i4>
      </vt:variant>
      <vt:variant>
        <vt:i4>5</vt:i4>
      </vt:variant>
      <vt:variant>
        <vt:lpwstr>https://thuvienphapluat.vn/van-ban/Bo-may-hanh-chinh/Hien-phap-nam-2013-215627.aspx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2026-02-02T01:48:00Z</cp:lastPrinted>
  <dcterms:created xsi:type="dcterms:W3CDTF">2026-03-23T02:32:00Z</dcterms:created>
  <dcterms:modified xsi:type="dcterms:W3CDTF">2026-03-23T02:32:00Z</dcterms:modified>
</cp:coreProperties>
</file>