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ind w:firstLine="0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ĐỀ CƯƠNG BÁO CÁO </w:t>
      </w:r>
      <w:r>
        <w:rPr>
          <w:rFonts w:eastAsia="Times New Roman" w:cs="Times New Roman"/>
          <w:b/>
          <w:bCs/>
          <w:szCs w:val="28"/>
        </w:rPr>
        <w:t>(của Ủy ban nhân dân các xã, phường)</w:t>
      </w:r>
    </w:p>
    <w:p>
      <w:pPr>
        <w:ind w:firstLine="0"/>
        <w:jc w:val="center"/>
        <w:rPr>
          <w:rFonts w:eastAsia="Times New Roman" w:cs="Times New Roman"/>
          <w:b/>
          <w:bCs/>
          <w:szCs w:val="28"/>
        </w:rPr>
      </w:pPr>
    </w:p>
    <w:p>
      <w:pPr>
        <w:ind w:firstLine="0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Tình hình thực hiện chính sách, pháp luật trên lĩnh vực y tế</w:t>
      </w:r>
    </w:p>
    <w:p>
      <w:pPr>
        <w:tabs>
          <w:tab w:val="left" w:pos="851"/>
        </w:tabs>
        <w:ind w:firstLine="0"/>
        <w:jc w:val="center"/>
        <w:rPr>
          <w:i/>
          <w:iCs/>
        </w:rPr>
      </w:pPr>
      <w:r>
        <w:rPr>
          <w:i/>
          <w:iCs/>
        </w:rPr>
        <w:t xml:space="preserve">(Ban hành kèm theo Quyết định số …../QĐ-HĐND ngày …./10 /2026 </w:t>
      </w:r>
    </w:p>
    <w:p>
      <w:pPr>
        <w:tabs>
          <w:tab w:val="left" w:pos="851"/>
        </w:tabs>
        <w:ind w:firstLine="0"/>
        <w:jc w:val="center"/>
        <w:rPr>
          <w:i/>
          <w:iCs/>
        </w:rPr>
      </w:pPr>
      <w:r>
        <w:rPr>
          <w:i/>
          <w:iCs/>
        </w:rPr>
        <w:t>của Ban Văn hóa - Xã hội Hội đồng nhân dân tỉnh)</w:t>
      </w:r>
    </w:p>
    <w:p>
      <w:pPr>
        <w:spacing w:after="120"/>
        <w:ind w:firstLine="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ab/>
        <w:t>I. ĐẶC ĐIỂM TÌNH HÌNH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 Điều kiện tự nhiên, quy mô dân số và mạng lưới y tế cơ sở trên địa bàn.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 Việc ban hành các văn bản chỉ đạo, kế hoạch triển khai thực hiện chính sách, pháp luật về y tế tại địa phương.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3. Công tác tuyên truyền, phổ biến các chủ trương, chính sách pháp luật về y tế đến người dân.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4. Hoạt động của Trạm y tế sau sáp nhập và bàn giao về các xã, phường quản lý.</w:t>
      </w:r>
    </w:p>
    <w:p>
      <w:pPr>
        <w:spacing w:after="12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II. KẾT QUẢ THỰC HIỆN CHÍNH SÁCH, PHÁP LUẬT VỀ Y TẾ</w:t>
      </w:r>
    </w:p>
    <w:p>
      <w:pPr>
        <w:spacing w:before="60" w:after="60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i/>
          <w:iCs/>
          <w:szCs w:val="28"/>
        </w:rPr>
        <w:t>(Báo cáo kết quả việc thực hiện chính sách, pháp luật về y tế từ năm 2024 đến 6 tháng đầu năm 2026)</w:t>
      </w:r>
    </w:p>
    <w:p>
      <w:pPr>
        <w:spacing w:after="120"/>
        <w:ind w:left="720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1. Về y tế dự phòng, phòng chống dịch bệnh và chương trình mục tiêu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Công tác tiêm chủng mở rộng, phòng, chống dịch bệnh truyền nhiễm và bệnh không lây nhiễm; dinh dưỡng.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Việc đảm bảo vệ sinh an toàn thực phẩm, nước sạch nông thôn/đô thị.</w:t>
      </w:r>
    </w:p>
    <w:p>
      <w:pPr>
        <w:pStyle w:val="ListParagraph"/>
        <w:numPr>
          <w:ilvl w:val="0"/>
          <w:numId w:val="16"/>
        </w:numPr>
        <w:spacing w:after="120"/>
        <w:ind w:left="1077" w:hanging="357"/>
        <w:contextualSpacing w:val="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Về hoạt động của Trạm Y tế xã/phường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Việc thực hiện các tiêu chí quốc gia về y tế xã.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Cơ sở vật chất, trang thiết bị y tế phục vụ khám chữa bệnh ban đầu.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Đội ngũ nhân lực y tế (số lượng bác sĩ, y sĩ, điều dưỡng, nhân viên y tế thôn bản/tổ dân phố) và chế độ chính sách.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- </w:t>
      </w:r>
      <w:r>
        <w:rPr>
          <w:rFonts w:eastAsia="Times New Roman" w:cs="Times New Roman"/>
          <w:szCs w:val="28"/>
        </w:rPr>
        <w:t>Kết quả giám sát, phát hiện và khống chế dịch bệnh tại địa phương.</w:t>
      </w:r>
    </w:p>
    <w:p>
      <w:pPr>
        <w:spacing w:before="60" w:after="60"/>
        <w:ind w:left="720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- </w:t>
      </w:r>
      <w:r>
        <w:rPr>
          <w:rFonts w:eastAsia="Times New Roman" w:cs="Times New Roman"/>
          <w:szCs w:val="28"/>
        </w:rPr>
        <w:t xml:space="preserve">Số lượt khám bệnh; số giường lưu/theo dõi (nếu có); 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Quản lý bệnh không lây nhiễm: tỷ lệ lập hồ sơ quản lý bệnh tăng huyết áp, đái tháo đường...</w:t>
      </w:r>
    </w:p>
    <w:p>
      <w:pPr>
        <w:spacing w:before="0"/>
        <w:ind w:left="720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3. Về công tác khám, chữa bệnh và BHYT</w:t>
      </w:r>
    </w:p>
    <w:p>
      <w:pPr>
        <w:spacing w:before="60" w:after="60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szCs w:val="28"/>
        </w:rPr>
        <w:t xml:space="preserve">- Số lượt người khám, chữa bệnh ban đầu tại Trạm Y tế </w:t>
      </w:r>
      <w:r>
        <w:rPr>
          <w:rFonts w:eastAsia="Times New Roman" w:cs="Times New Roman"/>
          <w:i/>
          <w:iCs/>
          <w:szCs w:val="28"/>
        </w:rPr>
        <w:t>(số liệu từng năm: 2024, 2025 và 6 tháng đầu năm 2026 và tổng cả giai đoạn)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Tỷ lệ người dân tham gia bảo hiểm y tế toàn dân trên địa bàn.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Việc thực hiện các chương trình, dự án, nhiệm vụ về y tế - dân số và các nội dung y tế thuộc chương trình mục tiêu quốc gia có liên quan; 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Việc tổ chức khám bệnh, chữa bệnh bảo hiểm y tế tại trạm; ký và thực hiện hợp đồng khám chữa bệnh bảo hiểm y tế nếu thuộc thẩm quyền của trạm, </w:t>
      </w:r>
      <w:r>
        <w:rPr>
          <w:rFonts w:eastAsia="Times New Roman" w:cs="Times New Roman"/>
          <w:szCs w:val="28"/>
        </w:rPr>
        <w:lastRenderedPageBreak/>
        <w:t>hoặc việc thực hiện theo hợp đồng của đơn vị quản lý; khó khăn trong thanh toán, quyết toán.</w:t>
      </w:r>
    </w:p>
    <w:p>
      <w:pPr>
        <w:spacing w:after="12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III. TỒN TẠI, HẠN CHẾ VÀ NGUYÊN NHÂN</w:t>
      </w:r>
    </w:p>
    <w:p>
      <w:pPr>
        <w:spacing w:after="12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1. Tồn tại, hạn chế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Hạn chế về cơ sở vật chất, trang thiết bị y tế (thừa thiếu so với định mức quy định).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Tình trạng thừa, thiếu nhân lực y tế.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Khó khăn trong vận động người dân tham gia bảo hiểm y tế hoặc duy trì các chỉ tiêu y tế.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Khó khăn của Trạm y tế sau khi thực hiện chính quyền địa phương 02 cấp và sau khi bàn giao về các xã, phường quản lý.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Phân định trách nhiệm giữa Ủy ban nhân dân cấp xã, Sở Y tế và Trạm y tế; những nội dung chưa rõ thẩm quyền hoặc phát sinh khoảng trống phối hợp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Những khó khăn, hạn chế khác…</w:t>
      </w:r>
    </w:p>
    <w:p>
      <w:pPr>
        <w:spacing w:after="120"/>
        <w:ind w:left="720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2. Nguyên nhân của hạn chế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Nguyên nhân khách quan. </w:t>
      </w:r>
    </w:p>
    <w:p>
      <w:pPr>
        <w:spacing w:before="60" w:after="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Nguyên nhân chủ quan. </w:t>
      </w:r>
    </w:p>
    <w:p>
      <w:pPr>
        <w:spacing w:after="120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IV. KIẾN NGHỊ VÀ ĐỀ XUẤT</w:t>
      </w:r>
    </w:p>
    <w:p>
      <w:pPr>
        <w:spacing w:after="120"/>
        <w:ind w:left="720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1. Kiến nghị với Hội đồng nhân dân, Ủy ban nhân dân tỉnh.</w:t>
      </w:r>
    </w:p>
    <w:p>
      <w:pPr>
        <w:spacing w:after="120"/>
        <w:ind w:left="720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>2. Kiến nghị với Sở Y tế và các sở, ngành liên quan.</w:t>
      </w:r>
    </w:p>
    <w:p>
      <w:pPr>
        <w:rPr>
          <w:rFonts w:eastAsia="Times New Roman" w:cs="Times New Roman"/>
          <w:b/>
          <w:bCs/>
          <w:szCs w:val="28"/>
        </w:rPr>
      </w:pPr>
    </w:p>
    <w:p>
      <w:pPr>
        <w:spacing w:before="480" w:after="480"/>
        <w:ind w:firstLine="0"/>
        <w:rPr>
          <w:rFonts w:eastAsia="Times New Roman" w:cs="Times New Roman"/>
          <w:szCs w:val="28"/>
        </w:rPr>
      </w:pPr>
    </w:p>
    <w:p>
      <w:pPr>
        <w:rPr>
          <w:rFonts w:cs="Times New Roman"/>
          <w:szCs w:val="28"/>
        </w:rPr>
      </w:pPr>
    </w:p>
    <w:sectPr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before="0"/>
      </w:pPr>
      <w:r>
        <w:separator/>
      </w:r>
    </w:p>
  </w:endnote>
  <w:endnote w:type="continuationSeparator" w:id="0">
    <w:p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before="0"/>
      </w:pPr>
      <w:r>
        <w:separator/>
      </w:r>
    </w:p>
  </w:footnote>
  <w:footnote w:type="continuationSeparator" w:id="0">
    <w:p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7752853"/>
      <w:docPartObj>
        <w:docPartGallery w:val="Page Numbers (Top of Page)"/>
        <w:docPartUnique/>
      </w:docPartObj>
    </w:sdtPr>
    <w:sdtEndPr>
      <w:rPr>
        <w:noProof/>
      </w:rPr>
    </w:sdtEndPr>
    <w:sdtContent>
      <w:p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6B5"/>
    <w:multiLevelType w:val="multilevel"/>
    <w:tmpl w:val="05C2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7500D"/>
    <w:multiLevelType w:val="multilevel"/>
    <w:tmpl w:val="6C8C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C2E92"/>
    <w:multiLevelType w:val="multilevel"/>
    <w:tmpl w:val="B1FE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0288E"/>
    <w:multiLevelType w:val="multilevel"/>
    <w:tmpl w:val="1DB8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4790E"/>
    <w:multiLevelType w:val="multilevel"/>
    <w:tmpl w:val="BF9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5197A"/>
    <w:multiLevelType w:val="multilevel"/>
    <w:tmpl w:val="094A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028E1"/>
    <w:multiLevelType w:val="hybridMultilevel"/>
    <w:tmpl w:val="F8B03B94"/>
    <w:lvl w:ilvl="0" w:tplc="CC44C0B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DA469D"/>
    <w:multiLevelType w:val="multilevel"/>
    <w:tmpl w:val="83CC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72BC0"/>
    <w:multiLevelType w:val="multilevel"/>
    <w:tmpl w:val="3F28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82476"/>
    <w:multiLevelType w:val="multilevel"/>
    <w:tmpl w:val="11F8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93285"/>
    <w:multiLevelType w:val="multilevel"/>
    <w:tmpl w:val="992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829B7"/>
    <w:multiLevelType w:val="multilevel"/>
    <w:tmpl w:val="147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514FE"/>
    <w:multiLevelType w:val="multilevel"/>
    <w:tmpl w:val="F1BA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08576E"/>
    <w:multiLevelType w:val="multilevel"/>
    <w:tmpl w:val="C5E0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E536D"/>
    <w:multiLevelType w:val="multilevel"/>
    <w:tmpl w:val="992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331B5"/>
    <w:multiLevelType w:val="hybridMultilevel"/>
    <w:tmpl w:val="A252BB00"/>
    <w:lvl w:ilvl="0" w:tplc="5D0621A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2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  <w:num w:numId="13">
    <w:abstractNumId w:val="9"/>
  </w:num>
  <w:num w:numId="14">
    <w:abstractNumId w:val="7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 w:inkAnnotation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3EC84-1549-45C6-96AB-0E5D6E41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340" w:lineRule="exac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568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503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57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3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756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04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8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2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4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29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6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5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7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5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8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9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5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2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18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HUAN</dc:creator>
  <cp:keywords/>
  <dc:description/>
  <cp:lastModifiedBy>QUANG HUAN</cp:lastModifiedBy>
  <cp:revision>10</cp:revision>
  <dcterms:created xsi:type="dcterms:W3CDTF">2026-08-07T01:42:00Z</dcterms:created>
  <dcterms:modified xsi:type="dcterms:W3CDTF">2026-08-11T08:22:00Z</dcterms:modified>
</cp:coreProperties>
</file>