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Ind w:w="-34" w:type="dxa"/>
        <w:tblLayout w:type="fixed"/>
        <w:tblLook w:val="0000" w:firstRow="0" w:lastRow="0" w:firstColumn="0" w:lastColumn="0" w:noHBand="0" w:noVBand="0"/>
      </w:tblPr>
      <w:tblGrid>
        <w:gridCol w:w="3544"/>
        <w:gridCol w:w="6096"/>
      </w:tblGrid>
      <w:tr>
        <w:tc>
          <w:tcPr>
            <w:tcW w:w="3544" w:type="dxa"/>
          </w:tcPr>
          <w:p>
            <w:pPr>
              <w:pStyle w:val="Heading4"/>
              <w:jc w:val="center"/>
              <w:rPr>
                <w:rFonts w:ascii="Times New Roman" w:hAnsi="Times New Roman"/>
                <w:szCs w:val="28"/>
              </w:rPr>
            </w:pPr>
            <w:r>
              <w:rPr>
                <w:rFonts w:ascii="Times New Roman" w:hAnsi="Times New Roman"/>
                <w:sz w:val="28"/>
                <w:szCs w:val="28"/>
              </w:rPr>
              <w:t>HỘI ĐỒNG NHÂN DÂN</w:t>
            </w:r>
          </w:p>
          <w:p>
            <w:pPr>
              <w:pStyle w:val="Heading4"/>
              <w:jc w:val="center"/>
              <w:rPr>
                <w:rFonts w:ascii="Times New Roman" w:hAnsi="Times New Roman"/>
                <w:sz w:val="28"/>
                <w:szCs w:val="28"/>
              </w:rPr>
            </w:pPr>
            <w:r>
              <w:rPr>
                <w:rFonts w:ascii="Times New Roman" w:hAnsi="Times New Roman"/>
                <w:sz w:val="28"/>
                <w:szCs w:val="28"/>
              </w:rPr>
              <w:t>TỈNH HÀ TĨNH</w:t>
            </w:r>
          </w:p>
          <w:p>
            <w:pPr>
              <w:jc w:val="center"/>
              <w:rPr>
                <w:szCs w:val="28"/>
              </w:rPr>
            </w:pPr>
            <w:r>
              <w:rPr>
                <w:noProof/>
                <w:szCs w:val="28"/>
              </w:rPr>
              <mc:AlternateContent>
                <mc:Choice Requires="wps">
                  <w:drawing>
                    <wp:anchor distT="0" distB="0" distL="114300" distR="114300" simplePos="0" relativeHeight="251661312" behindDoc="0" locked="0" layoutInCell="1" allowOverlap="1">
                      <wp:simplePos x="0" y="0"/>
                      <wp:positionH relativeFrom="column">
                        <wp:posOffset>643255</wp:posOffset>
                      </wp:positionH>
                      <wp:positionV relativeFrom="paragraph">
                        <wp:posOffset>24130</wp:posOffset>
                      </wp:positionV>
                      <wp:extent cx="857885" cy="0"/>
                      <wp:effectExtent l="6350" t="10160" r="1206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5pt,1.9pt" to="118.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"/>
                  </w:pict>
                </mc:Fallback>
              </mc:AlternateContent>
            </w:r>
          </w:p>
        </w:tc>
        <w:tc>
          <w:tcPr>
            <w:tcW w:w="6096" w:type="dxa"/>
          </w:tcPr>
          <w:p>
            <w:pPr>
              <w:jc w:val="center"/>
              <w:rPr>
                <w:b/>
                <w:szCs w:val="28"/>
              </w:rPr>
            </w:pPr>
            <w:r>
              <w:rPr>
                <w:b/>
                <w:szCs w:val="28"/>
              </w:rPr>
              <w:t>CỘNG HÒA XÃ HỘI CHỦ NGHĨA VIỆT NAM</w:t>
            </w:r>
          </w:p>
          <w:p>
            <w:pPr>
              <w:jc w:val="center"/>
              <w:rPr>
                <w:szCs w:val="28"/>
              </w:rPr>
            </w:pPr>
            <w:r>
              <w:rPr>
                <w:bCs/>
                <w:noProof/>
                <w:szCs w:val="28"/>
              </w:rPr>
              <mc:AlternateContent>
                <mc:Choice Requires="wps">
                  <w:drawing>
                    <wp:anchor distT="0" distB="0" distL="114300" distR="114300" simplePos="0" relativeHeight="251659264" behindDoc="0" locked="0" layoutInCell="1" allowOverlap="1">
                      <wp:simplePos x="0" y="0"/>
                      <wp:positionH relativeFrom="column">
                        <wp:posOffset>913765</wp:posOffset>
                      </wp:positionH>
                      <wp:positionV relativeFrom="paragraph">
                        <wp:posOffset>235585</wp:posOffset>
                      </wp:positionV>
                      <wp:extent cx="1920240" cy="0"/>
                      <wp:effectExtent l="12700" t="7620" r="1016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5pt,18.55pt" to="223.1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"/>
                  </w:pict>
                </mc:Fallback>
              </mc:AlternateContent>
            </w:r>
            <w:r>
              <w:rPr>
                <w:b/>
                <w:szCs w:val="28"/>
              </w:rPr>
              <w:t>Độc lập - Tự do - Hạnh phúc</w:t>
            </w:r>
          </w:p>
        </w:tc>
      </w:tr>
      <w:tr>
        <w:tc>
          <w:tcPr>
            <w:tcW w:w="3544" w:type="dxa"/>
          </w:tcPr>
          <w:p>
            <w:pPr>
              <w:jc w:val="center"/>
              <w:rPr>
                <w:szCs w:val="28"/>
              </w:rPr>
            </w:pPr>
            <w:r>
              <w:rPr>
                <w:szCs w:val="28"/>
              </w:rPr>
              <w:t xml:space="preserve">Số:       </w:t>
            </w:r>
            <w:r>
              <w:rPr>
                <w:bCs/>
                <w:szCs w:val="28"/>
              </w:rPr>
              <w:t>/</w:t>
            </w:r>
            <w:r>
              <w:rPr>
                <w:szCs w:val="28"/>
              </w:rPr>
              <w:t>QĐ-HĐND</w:t>
            </w:r>
          </w:p>
        </w:tc>
        <w:tc>
          <w:tcPr>
            <w:tcW w:w="6096" w:type="dxa"/>
          </w:tcPr>
          <w:p>
            <w:pPr>
              <w:jc w:val="center"/>
              <w:rPr>
                <w:szCs w:val="28"/>
              </w:rPr>
            </w:pPr>
            <w:r>
              <w:rPr>
                <w:i/>
                <w:szCs w:val="28"/>
              </w:rPr>
              <w:t>Hà Tĩnh, ngày      tháng     năm 2026</w:t>
            </w:r>
          </w:p>
        </w:tc>
      </w:tr>
    </w:tbl>
    <w:p>
      <w:pPr>
        <w:rPr>
          <w:b/>
          <w:sz w:val="30"/>
          <w:szCs w:val="30"/>
        </w:rPr>
      </w:pPr>
    </w:p>
    <w:p>
      <w:pPr>
        <w:spacing w:before="120" w:after="120" w:line="340" w:lineRule="exact"/>
        <w:ind w:firstLine="720"/>
        <w:jc w:val="center"/>
        <w:rPr>
          <w:b/>
          <w:szCs w:val="28"/>
        </w:rPr>
      </w:pPr>
      <w:r>
        <w:rPr>
          <w:b/>
          <w:szCs w:val="28"/>
        </w:rPr>
        <w:t>QUYẾT ĐỊNH</w:t>
      </w:r>
    </w:p>
    <w:p>
      <w:pPr>
        <w:spacing w:before="120" w:line="340" w:lineRule="exact"/>
        <w:ind w:firstLine="426"/>
        <w:jc w:val="center"/>
        <w:rPr>
          <w:rFonts w:ascii="Times New Roman Bold" w:hAnsi="Times New Roman Bold"/>
          <w:b/>
          <w:szCs w:val="28"/>
        </w:rPr>
      </w:pPr>
      <w:r>
        <w:rPr>
          <w:rFonts w:ascii="Times New Roman Bold" w:hAnsi="Times New Roman Bold"/>
          <w:b/>
          <w:szCs w:val="28"/>
        </w:rPr>
        <w:t xml:space="preserve">Thành lập Đoàn giám sát của Ban Văn hóa - Xã hội Hội đồng nhân dân tỉnh về “Việc thực hiện các chính sách, pháp luật về tổ chức và hoạt động của hệ thống y tế trên địa bàn tỉnh </w:t>
      </w:r>
      <w:r>
        <w:rPr>
          <w:rFonts w:eastAsia="Times New Roman"/>
          <w:b/>
          <w:szCs w:val="28"/>
        </w:rPr>
        <w:t>giai đoạn 2024 - 2026</w:t>
      </w:r>
      <w:r>
        <w:rPr>
          <w:rFonts w:ascii="Times New Roman Bold" w:hAnsi="Times New Roman Bold"/>
          <w:b/>
          <w:szCs w:val="28"/>
        </w:rPr>
        <w:t>”</w:t>
      </w:r>
    </w:p>
    <w:p>
      <w:pPr>
        <w:pStyle w:val="BodyText3"/>
        <w:spacing w:before="120" w:after="120" w:line="340" w:lineRule="exact"/>
        <w:ind w:firstLine="720"/>
      </w:pPr>
      <w:r>
        <w:rPr>
          <w:noProof/>
        </w:rPr>
        <mc:AlternateContent>
          <mc:Choice Requires="wps">
            <w:drawing>
              <wp:anchor distT="0" distB="0" distL="114300" distR="114300" simplePos="0" relativeHeight="251657216" behindDoc="0" locked="0" layoutInCell="1" allowOverlap="1">
                <wp:simplePos x="0" y="0"/>
                <wp:positionH relativeFrom="column">
                  <wp:posOffset>2188845</wp:posOffset>
                </wp:positionH>
                <wp:positionV relativeFrom="paragraph">
                  <wp:posOffset>17780</wp:posOffset>
                </wp:positionV>
                <wp:extent cx="1325880" cy="0"/>
                <wp:effectExtent l="11430" t="6985" r="571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5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1.4pt" to="276.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"/>
            </w:pict>
          </mc:Fallback>
        </mc:AlternateContent>
      </w:r>
    </w:p>
    <w:p>
      <w:pPr>
        <w:spacing w:before="120" w:after="120" w:line="340" w:lineRule="exact"/>
        <w:ind w:firstLine="720"/>
        <w:jc w:val="center"/>
        <w:rPr>
          <w:b/>
          <w:szCs w:val="28"/>
        </w:rPr>
      </w:pPr>
      <w:r>
        <w:rPr>
          <w:szCs w:val="28"/>
        </w:rPr>
        <w:t xml:space="preserve"> </w:t>
      </w:r>
      <w:r>
        <w:rPr>
          <w:b/>
          <w:szCs w:val="28"/>
        </w:rPr>
        <w:t xml:space="preserve">BAN VĂN HÓA - XÃ HỘI HỘI ĐỒNG NHÂN DÂN TỈNH </w:t>
      </w:r>
    </w:p>
    <w:p>
      <w:pPr>
        <w:spacing w:before="120" w:after="120" w:line="340" w:lineRule="exact"/>
        <w:ind w:firstLine="720"/>
        <w:jc w:val="center"/>
        <w:rPr>
          <w:b/>
          <w:szCs w:val="28"/>
        </w:rPr>
      </w:pPr>
    </w:p>
    <w:p>
      <w:pPr>
        <w:widowControl w:val="0"/>
        <w:spacing w:before="120" w:after="120" w:line="340" w:lineRule="exact"/>
        <w:ind w:firstLine="720"/>
        <w:jc w:val="both"/>
        <w:rPr>
          <w:i/>
          <w:szCs w:val="28"/>
          <w:lang w:val="pt-BR"/>
        </w:rPr>
      </w:pPr>
      <w:r>
        <w:rPr>
          <w:i/>
          <w:szCs w:val="28"/>
          <w:lang w:val="pt-BR"/>
        </w:rPr>
        <w:t xml:space="preserve">Căn cứ Luật Tổ chức chính quyền địa phương </w:t>
      </w:r>
      <w:r>
        <w:rPr>
          <w:i/>
        </w:rPr>
        <w:t>số 72/2025/QH15</w:t>
      </w:r>
      <w:r>
        <w:rPr>
          <w:i/>
          <w:szCs w:val="28"/>
          <w:lang w:val="pt-BR"/>
        </w:rPr>
        <w:t xml:space="preserve">; </w:t>
      </w:r>
    </w:p>
    <w:p>
      <w:pPr>
        <w:widowControl w:val="0"/>
        <w:spacing w:before="120" w:after="120" w:line="340" w:lineRule="exact"/>
        <w:ind w:firstLine="720"/>
        <w:jc w:val="both"/>
        <w:rPr>
          <w:rFonts w:ascii="Times New Roman Italic" w:hAnsi="Times New Roman Italic"/>
          <w:i/>
          <w:iCs/>
          <w:spacing w:val="-8"/>
          <w:szCs w:val="28"/>
          <w:lang w:val="pt-BR"/>
        </w:rPr>
      </w:pPr>
      <w:r>
        <w:rPr>
          <w:rFonts w:ascii="Times New Roman Italic" w:hAnsi="Times New Roman Italic"/>
          <w:i/>
          <w:iCs/>
          <w:spacing w:val="-8"/>
          <w:szCs w:val="28"/>
          <w:lang w:val="pt-BR"/>
        </w:rPr>
        <w:t>C</w:t>
      </w:r>
      <w:r>
        <w:rPr>
          <w:rFonts w:ascii="Times New Roman Italic" w:hAnsi="Times New Roman Italic" w:hint="eastAsia"/>
          <w:i/>
          <w:iCs/>
          <w:spacing w:val="-8"/>
          <w:szCs w:val="28"/>
          <w:lang w:val="pt-BR"/>
        </w:rPr>
        <w:t>ă</w:t>
      </w:r>
      <w:r>
        <w:rPr>
          <w:rFonts w:ascii="Times New Roman Italic" w:hAnsi="Times New Roman Italic"/>
          <w:i/>
          <w:iCs/>
          <w:spacing w:val="-8"/>
          <w:szCs w:val="28"/>
          <w:lang w:val="pt-BR"/>
        </w:rPr>
        <w:t xml:space="preserve">n cứ Luật Hoạt </w:t>
      </w:r>
      <w:r>
        <w:rPr>
          <w:rFonts w:ascii="Times New Roman Italic" w:hAnsi="Times New Roman Italic" w:hint="eastAsia"/>
          <w:i/>
          <w:iCs/>
          <w:spacing w:val="-8"/>
          <w:szCs w:val="28"/>
          <w:lang w:val="pt-BR"/>
        </w:rPr>
        <w:t>đ</w:t>
      </w:r>
      <w:r>
        <w:rPr>
          <w:rFonts w:ascii="Times New Roman Italic" w:hAnsi="Times New Roman Italic"/>
          <w:i/>
          <w:iCs/>
          <w:spacing w:val="-8"/>
          <w:szCs w:val="28"/>
          <w:lang w:val="pt-BR"/>
        </w:rPr>
        <w:t>ộng gi</w:t>
      </w:r>
      <w:r>
        <w:rPr>
          <w:rFonts w:ascii="Times New Roman Italic" w:hAnsi="Times New Roman Italic" w:hint="eastAsia"/>
          <w:i/>
          <w:iCs/>
          <w:spacing w:val="-8"/>
          <w:szCs w:val="28"/>
          <w:lang w:val="pt-BR"/>
        </w:rPr>
        <w:t>á</w:t>
      </w:r>
      <w:r>
        <w:rPr>
          <w:rFonts w:ascii="Times New Roman Italic" w:hAnsi="Times New Roman Italic"/>
          <w:i/>
          <w:iCs/>
          <w:spacing w:val="-8"/>
          <w:szCs w:val="28"/>
          <w:lang w:val="pt-BR"/>
        </w:rPr>
        <w:t>m s</w:t>
      </w:r>
      <w:r>
        <w:rPr>
          <w:rFonts w:ascii="Times New Roman Italic" w:hAnsi="Times New Roman Italic" w:hint="eastAsia"/>
          <w:i/>
          <w:iCs/>
          <w:spacing w:val="-8"/>
          <w:szCs w:val="28"/>
          <w:lang w:val="pt-BR"/>
        </w:rPr>
        <w:t>á</w:t>
      </w:r>
      <w:r>
        <w:rPr>
          <w:rFonts w:ascii="Times New Roman Italic" w:hAnsi="Times New Roman Italic"/>
          <w:i/>
          <w:iCs/>
          <w:spacing w:val="-8"/>
          <w:szCs w:val="28"/>
          <w:lang w:val="pt-BR"/>
        </w:rPr>
        <w:t>t của Quốc hội v</w:t>
      </w:r>
      <w:r>
        <w:rPr>
          <w:rFonts w:ascii="Times New Roman Italic" w:hAnsi="Times New Roman Italic" w:hint="eastAsia"/>
          <w:i/>
          <w:iCs/>
          <w:spacing w:val="-8"/>
          <w:szCs w:val="28"/>
          <w:lang w:val="pt-BR"/>
        </w:rPr>
        <w:t>à</w:t>
      </w:r>
      <w:r>
        <w:rPr>
          <w:rFonts w:ascii="Times New Roman Italic" w:hAnsi="Times New Roman Italic"/>
          <w:i/>
          <w:iCs/>
          <w:spacing w:val="-8"/>
          <w:szCs w:val="28"/>
          <w:lang w:val="pt-BR"/>
        </w:rPr>
        <w:t xml:space="preserve"> Hội </w:t>
      </w:r>
      <w:r>
        <w:rPr>
          <w:rFonts w:ascii="Times New Roman Italic" w:hAnsi="Times New Roman Italic" w:hint="eastAsia"/>
          <w:i/>
          <w:iCs/>
          <w:spacing w:val="-8"/>
          <w:szCs w:val="28"/>
          <w:lang w:val="pt-BR"/>
        </w:rPr>
        <w:t>đ</w:t>
      </w:r>
      <w:r>
        <w:rPr>
          <w:rFonts w:ascii="Times New Roman Italic" w:hAnsi="Times New Roman Italic"/>
          <w:i/>
          <w:iCs/>
          <w:spacing w:val="-8"/>
          <w:szCs w:val="28"/>
          <w:lang w:val="pt-BR"/>
        </w:rPr>
        <w:t>ồng nh</w:t>
      </w:r>
      <w:r>
        <w:rPr>
          <w:rFonts w:ascii="Times New Roman Italic" w:hAnsi="Times New Roman Italic" w:hint="eastAsia"/>
          <w:i/>
          <w:iCs/>
          <w:spacing w:val="-8"/>
          <w:szCs w:val="28"/>
          <w:lang w:val="pt-BR"/>
        </w:rPr>
        <w:t>â</w:t>
      </w:r>
      <w:r>
        <w:rPr>
          <w:rFonts w:ascii="Times New Roman Italic" w:hAnsi="Times New Roman Italic"/>
          <w:i/>
          <w:iCs/>
          <w:spacing w:val="-8"/>
          <w:szCs w:val="28"/>
          <w:lang w:val="pt-BR"/>
        </w:rPr>
        <w:t>n d</w:t>
      </w:r>
      <w:r>
        <w:rPr>
          <w:rFonts w:ascii="Times New Roman Italic" w:hAnsi="Times New Roman Italic" w:hint="eastAsia"/>
          <w:i/>
          <w:iCs/>
          <w:spacing w:val="-8"/>
          <w:szCs w:val="28"/>
          <w:lang w:val="pt-BR"/>
        </w:rPr>
        <w:t>â</w:t>
      </w:r>
      <w:r>
        <w:rPr>
          <w:rFonts w:ascii="Times New Roman Italic" w:hAnsi="Times New Roman Italic"/>
          <w:i/>
          <w:iCs/>
          <w:spacing w:val="-8"/>
          <w:szCs w:val="28"/>
          <w:lang w:val="pt-BR"/>
        </w:rPr>
        <w:t xml:space="preserve">n </w:t>
      </w:r>
      <w:r>
        <w:rPr>
          <w:i/>
          <w:iCs/>
          <w:lang w:val="pt-BR"/>
        </w:rPr>
        <w:t>số 121/2025/QH15</w:t>
      </w:r>
      <w:r>
        <w:rPr>
          <w:rFonts w:ascii="Times New Roman Italic" w:hAnsi="Times New Roman Italic"/>
          <w:i/>
          <w:iCs/>
          <w:spacing w:val="-8"/>
          <w:szCs w:val="28"/>
          <w:lang w:val="pt-BR"/>
        </w:rPr>
        <w:t xml:space="preserve">; </w:t>
      </w:r>
    </w:p>
    <w:p>
      <w:pPr>
        <w:shd w:val="clear" w:color="auto" w:fill="FFFFFF"/>
        <w:spacing w:before="120" w:after="120" w:line="340" w:lineRule="exact"/>
        <w:ind w:firstLine="720"/>
        <w:jc w:val="both"/>
        <w:outlineLvl w:val="3"/>
        <w:rPr>
          <w:rFonts w:eastAsia="Times New Roman"/>
          <w:i/>
          <w:iCs/>
          <w:caps/>
          <w:color w:val="031739"/>
          <w:szCs w:val="28"/>
          <w:lang w:val="pt-BR"/>
        </w:rPr>
      </w:pPr>
      <w:r>
        <w:rPr>
          <w:rFonts w:eastAsia="Times New Roman"/>
          <w:i/>
          <w:iCs/>
          <w:color w:val="182940"/>
          <w:szCs w:val="28"/>
          <w:lang w:val="pt-BR"/>
        </w:rPr>
        <w:t>Căn cứ Nghị quyết số 114/2025/UBTVQH15 ngày 24 tháng 12 năm 2025 của Ủy ban Thường vụ Quốc hội Quy định chi tiết và hướng dẫn thi hành Luật Hoạt động giám sát của Quốc hội và Hội đồng nhân dân về hoạt động giám sát của Hội đồng nhân dân;</w:t>
      </w:r>
    </w:p>
    <w:p>
      <w:pPr>
        <w:widowControl w:val="0"/>
        <w:spacing w:before="120" w:after="120" w:line="340" w:lineRule="exact"/>
        <w:ind w:firstLine="720"/>
        <w:jc w:val="both"/>
        <w:rPr>
          <w:i/>
          <w:szCs w:val="28"/>
          <w:lang w:val="pt-BR"/>
        </w:rPr>
      </w:pPr>
      <w:r>
        <w:rPr>
          <w:i/>
          <w:szCs w:val="28"/>
          <w:lang w:val="pt-BR"/>
        </w:rPr>
        <w:t>Căn cứ Kế hoạch số 49/KH-HĐND ngày 07 tháng 02 năm 2026 của Ban Văn hóa - Xã hội Hội đồng nhân dân tỉnh về kế hoạch hoạt động năm 2026;</w:t>
      </w:r>
    </w:p>
    <w:p>
      <w:pPr>
        <w:widowControl w:val="0"/>
        <w:spacing w:before="120" w:after="120" w:line="340" w:lineRule="exact"/>
        <w:ind w:firstLine="720"/>
        <w:jc w:val="both"/>
        <w:rPr>
          <w:i/>
          <w:szCs w:val="28"/>
          <w:lang w:val="pt-BR"/>
        </w:rPr>
      </w:pPr>
      <w:r>
        <w:rPr>
          <w:i/>
          <w:lang w:val="pt-BR"/>
        </w:rPr>
        <w:t>Theo đề nghị của</w:t>
      </w:r>
      <w:r>
        <w:rPr>
          <w:lang w:val="pt-BR"/>
        </w:rPr>
        <w:t xml:space="preserve"> </w:t>
      </w:r>
      <w:r>
        <w:rPr>
          <w:i/>
          <w:szCs w:val="28"/>
          <w:lang w:val="pt-BR"/>
        </w:rPr>
        <w:t>Trưởng Ban Văn hóa - Xã hội Hội đồng nhân dân tỉnh.</w:t>
      </w:r>
    </w:p>
    <w:p>
      <w:pPr>
        <w:spacing w:before="120" w:after="120" w:line="340" w:lineRule="exact"/>
        <w:ind w:firstLine="720"/>
        <w:jc w:val="center"/>
        <w:rPr>
          <w:b/>
          <w:bCs/>
          <w:szCs w:val="28"/>
          <w:lang w:val="pt-BR"/>
        </w:rPr>
      </w:pPr>
    </w:p>
    <w:p>
      <w:pPr>
        <w:spacing w:before="120" w:after="120" w:line="340" w:lineRule="exact"/>
        <w:ind w:firstLine="720"/>
        <w:jc w:val="center"/>
        <w:rPr>
          <w:b/>
          <w:bCs/>
          <w:szCs w:val="28"/>
          <w:lang w:val="pt-BR"/>
        </w:rPr>
      </w:pPr>
      <w:r>
        <w:rPr>
          <w:b/>
          <w:bCs/>
          <w:szCs w:val="28"/>
          <w:lang w:val="pt-BR"/>
        </w:rPr>
        <w:t>QUYẾT ĐỊNH:</w:t>
      </w:r>
    </w:p>
    <w:p>
      <w:pPr>
        <w:spacing w:before="120" w:after="120" w:line="340" w:lineRule="exact"/>
        <w:ind w:firstLine="720"/>
        <w:jc w:val="both"/>
        <w:rPr>
          <w:b/>
          <w:bCs/>
          <w:szCs w:val="28"/>
          <w:lang w:val="pt-BR"/>
        </w:rPr>
      </w:pPr>
      <w:r>
        <w:rPr>
          <w:b/>
          <w:bCs/>
          <w:szCs w:val="28"/>
          <w:lang w:val="pt-BR"/>
        </w:rPr>
        <w:t>Điều 1</w:t>
      </w:r>
      <w:r>
        <w:rPr>
          <w:szCs w:val="28"/>
          <w:lang w:val="pt-BR"/>
        </w:rPr>
        <w:t xml:space="preserve">. </w:t>
      </w:r>
      <w:r>
        <w:rPr>
          <w:b/>
          <w:bCs/>
          <w:szCs w:val="28"/>
          <w:lang w:val="pt-BR"/>
        </w:rPr>
        <w:t>Thành lập Đoàn giám sát</w:t>
      </w:r>
    </w:p>
    <w:p>
      <w:pPr>
        <w:pStyle w:val="NoSpacing"/>
        <w:ind w:firstLine="720"/>
        <w:jc w:val="both"/>
        <w:rPr>
          <w:lang w:val="pt-BR"/>
        </w:rPr>
      </w:pPr>
      <w:r>
        <w:rPr>
          <w:lang w:val="pt-BR"/>
        </w:rPr>
        <w:t xml:space="preserve">Thành lập Đoàn giám sát của Ban Văn hóa - Xã hội Hội đồng nhân dân tỉnh về “Việc thực hiện các chính sách, pháp luật về tổ chức và hoạt động của hệ thống y tế trên địa bàn tỉnh </w:t>
      </w:r>
      <w:r>
        <w:rPr>
          <w:rFonts w:eastAsia="Times New Roman"/>
          <w:lang w:val="pt-BR"/>
        </w:rPr>
        <w:t>giai đoạn 2024 - 2026</w:t>
      </w:r>
      <w:r>
        <w:rPr>
          <w:lang w:val="pt-BR"/>
        </w:rPr>
        <w:t xml:space="preserve">” </w:t>
      </w:r>
      <w:r>
        <w:rPr>
          <w:szCs w:val="28"/>
          <w:lang w:val="pt-BR"/>
        </w:rPr>
        <w:t>gồm các ông, bà có tên sau:</w:t>
      </w:r>
    </w:p>
    <w:p>
      <w:pPr>
        <w:spacing w:before="120" w:after="120" w:line="340" w:lineRule="exact"/>
        <w:ind w:firstLine="720"/>
        <w:jc w:val="both"/>
        <w:rPr>
          <w:szCs w:val="28"/>
          <w:lang w:val="pt-BR"/>
        </w:rPr>
      </w:pPr>
      <w:r>
        <w:rPr>
          <w:b/>
          <w:bCs/>
          <w:szCs w:val="28"/>
          <w:lang w:val="pt-BR"/>
        </w:rPr>
        <w:t>1. Thành phần Đoàn giám sát</w:t>
      </w:r>
    </w:p>
    <w:p>
      <w:pPr>
        <w:spacing w:before="120" w:after="120" w:line="340" w:lineRule="exact"/>
        <w:ind w:firstLine="720"/>
        <w:jc w:val="both"/>
        <w:rPr>
          <w:szCs w:val="28"/>
          <w:lang w:val="pt-BR"/>
        </w:rPr>
      </w:pPr>
      <w:r>
        <w:rPr>
          <w:szCs w:val="28"/>
          <w:lang w:val="pt-BR"/>
        </w:rPr>
        <w:t>- Bà Đào Thị Anh Nga, Ủy viên Thường trực, Trưởng Ban Văn hóa - Xã hội Hội đồng nhân dân tỉnh - Trưởng đoàn.</w:t>
      </w:r>
    </w:p>
    <w:p>
      <w:pPr>
        <w:spacing w:before="120" w:after="120" w:line="340" w:lineRule="exact"/>
        <w:ind w:firstLine="720"/>
        <w:jc w:val="both"/>
        <w:rPr>
          <w:szCs w:val="28"/>
          <w:lang w:val="pt-BR"/>
        </w:rPr>
      </w:pPr>
      <w:r>
        <w:rPr>
          <w:szCs w:val="28"/>
          <w:lang w:val="pt-BR"/>
        </w:rPr>
        <w:t>- Ông Phan Trung Kiên, Phó Trưởng Ban Văn hóa - Xã hội Hội đồng nhân dân tỉnh - Phó Trưởng đoàn.</w:t>
      </w:r>
    </w:p>
    <w:p>
      <w:pPr>
        <w:spacing w:before="120" w:after="120" w:line="340" w:lineRule="exact"/>
        <w:ind w:firstLine="720"/>
        <w:jc w:val="both"/>
        <w:rPr>
          <w:szCs w:val="28"/>
          <w:lang w:val="pt-BR"/>
        </w:rPr>
      </w:pPr>
      <w:r>
        <w:rPr>
          <w:szCs w:val="28"/>
          <w:lang w:val="pt-BR"/>
        </w:rPr>
        <w:t>- Ông Hà Văn Hùng, Ủy viên Ban Thường vụ, Trưởng Ban Tuyên giáo và Dân vận Tỉnh ủy - Ủy viên Ban Văn hóa - Xã hội Hội đồng nhân dân tỉnh - Thành viên.</w:t>
      </w:r>
    </w:p>
    <w:p>
      <w:pPr>
        <w:spacing w:before="120" w:after="120" w:line="340" w:lineRule="exact"/>
        <w:ind w:firstLine="720"/>
        <w:jc w:val="both"/>
        <w:rPr>
          <w:szCs w:val="28"/>
          <w:lang w:val="pt-BR"/>
        </w:rPr>
      </w:pPr>
    </w:p>
    <w:p>
      <w:pPr>
        <w:spacing w:before="120" w:after="120" w:line="340" w:lineRule="exact"/>
        <w:ind w:firstLine="720"/>
        <w:jc w:val="both"/>
        <w:rPr>
          <w:szCs w:val="28"/>
          <w:lang w:val="pt-BR"/>
        </w:rPr>
      </w:pPr>
      <w:r>
        <w:rPr>
          <w:szCs w:val="28"/>
          <w:lang w:val="pt-BR"/>
        </w:rPr>
        <w:t>- Ông Nguyễn Thế Hoàn, Ủy viên Ban Chấp hành Đảng bộ tỉnh, Phó Chủ tịch Ủy ban MTTQ Việt Nam tỉnh, Chủ tịch Liên đoàn Lao động tỉnh, Ủy viên Ban Văn hóa - Xã hội Hội đồng nhân dân tỉnh - Thành viên.</w:t>
      </w:r>
    </w:p>
    <w:p>
      <w:pPr>
        <w:spacing w:before="120" w:after="120" w:line="340" w:lineRule="exact"/>
        <w:ind w:firstLine="720"/>
        <w:jc w:val="both"/>
        <w:rPr>
          <w:szCs w:val="28"/>
          <w:lang w:val="pt-BR"/>
        </w:rPr>
      </w:pPr>
      <w:r>
        <w:rPr>
          <w:szCs w:val="28"/>
          <w:lang w:val="pt-BR"/>
        </w:rPr>
        <w:t>- Ông Nguyễn Tùng Lĩnh, Chủ tịch Hội Văn học - Nghệ thuật tỉnh, Ủy viên Ban Văn hóa - Xã hội Hội đồng nhân dân tỉnh - Thành viên.</w:t>
      </w:r>
    </w:p>
    <w:p>
      <w:pPr>
        <w:spacing w:before="120" w:after="120" w:line="340" w:lineRule="exact"/>
        <w:ind w:firstLine="720"/>
        <w:jc w:val="both"/>
        <w:rPr>
          <w:szCs w:val="28"/>
          <w:lang w:val="pt-BR"/>
        </w:rPr>
      </w:pPr>
      <w:r>
        <w:rPr>
          <w:spacing w:val="-4"/>
          <w:szCs w:val="28"/>
          <w:lang w:val="pt-BR"/>
        </w:rPr>
        <w:t xml:space="preserve">- </w:t>
      </w:r>
      <w:r>
        <w:rPr>
          <w:szCs w:val="28"/>
          <w:lang w:val="pt-BR"/>
        </w:rPr>
        <w:t>Ông Nguyễn Thăng Long, Bí thư Đảng ủy, Chủ tịch Hội đồng nhân dân phường Bắc Hồng Lĩnh, Ủy viên Ban Văn hóa - Xã hội Hội đồng nhân dân tỉnh - Thành viên.</w:t>
      </w:r>
    </w:p>
    <w:p>
      <w:pPr>
        <w:spacing w:before="120" w:after="120" w:line="340" w:lineRule="exact"/>
        <w:ind w:firstLine="720"/>
        <w:jc w:val="both"/>
        <w:rPr>
          <w:szCs w:val="28"/>
          <w:lang w:val="pt-BR"/>
        </w:rPr>
      </w:pPr>
      <w:r>
        <w:rPr>
          <w:szCs w:val="28"/>
          <w:lang w:val="pt-BR"/>
        </w:rPr>
        <w:t xml:space="preserve">- Ông Lê Văn Dũng, Phó Giám đốc Bệnh viện Đa khoa tỉnh, Ủy viên Ban Văn hóa - Xã hội Hội đồng nhân dân tỉnh - Thành viên. </w:t>
      </w:r>
    </w:p>
    <w:p>
      <w:pPr>
        <w:spacing w:before="120" w:after="120" w:line="340" w:lineRule="exact"/>
        <w:ind w:firstLine="720"/>
        <w:jc w:val="both"/>
        <w:rPr>
          <w:spacing w:val="-4"/>
          <w:szCs w:val="28"/>
          <w:lang w:val="pt-BR"/>
        </w:rPr>
      </w:pPr>
      <w:r>
        <w:rPr>
          <w:spacing w:val="-4"/>
          <w:szCs w:val="28"/>
          <w:lang w:val="pt-BR"/>
        </w:rPr>
        <w:t>- Ông Bùi Việt Hùng, Phó Bí thư Đảng ủy, Chủ tịch Ủy ban nhân dân xã Nghi Xuân, Ủy viên Ban Văn hóa - Xã hội Hội đồng nhân dân tỉnh - Thành viên.</w:t>
      </w:r>
    </w:p>
    <w:p>
      <w:pPr>
        <w:spacing w:before="120" w:after="120" w:line="340" w:lineRule="exact"/>
        <w:ind w:firstLine="720"/>
        <w:jc w:val="both"/>
        <w:rPr>
          <w:spacing w:val="-4"/>
          <w:szCs w:val="28"/>
          <w:lang w:val="pt-BR"/>
        </w:rPr>
      </w:pPr>
      <w:r>
        <w:rPr>
          <w:szCs w:val="28"/>
          <w:lang w:val="pt-BR"/>
        </w:rPr>
        <w:t>- Bà Đinh Thị Hồng Vân, Ủy viên chuyên trách Ban Văn hóa - Xã hội Hội đồng nhân dân tỉnh - Thành viên.</w:t>
      </w:r>
    </w:p>
    <w:p>
      <w:pPr>
        <w:spacing w:before="120" w:after="120" w:line="340" w:lineRule="exact"/>
        <w:ind w:firstLine="720"/>
        <w:jc w:val="both"/>
        <w:rPr>
          <w:b/>
          <w:bCs/>
          <w:szCs w:val="28"/>
          <w:lang w:val="pt-BR"/>
        </w:rPr>
      </w:pPr>
      <w:r>
        <w:rPr>
          <w:b/>
          <w:bCs/>
          <w:szCs w:val="28"/>
          <w:lang w:val="pt-BR"/>
        </w:rPr>
        <w:t>1.2. Đại biểu mời tham gia Đoàn giám sát</w:t>
      </w:r>
    </w:p>
    <w:p>
      <w:pPr>
        <w:spacing w:before="120" w:after="120" w:line="340" w:lineRule="exact"/>
        <w:ind w:firstLine="720"/>
        <w:jc w:val="both"/>
        <w:rPr>
          <w:szCs w:val="28"/>
          <w:lang w:val="pt-BR"/>
        </w:rPr>
      </w:pPr>
      <w:r>
        <w:rPr>
          <w:szCs w:val="28"/>
          <w:lang w:val="pt-BR"/>
        </w:rPr>
        <w:t>- Các đồng chí Phó Chủ tịch Hội đồng nhân dân tỉnh;</w:t>
      </w:r>
    </w:p>
    <w:p>
      <w:pPr>
        <w:spacing w:before="120" w:after="120" w:line="340" w:lineRule="exact"/>
        <w:ind w:firstLine="720"/>
        <w:jc w:val="both"/>
        <w:rPr>
          <w:szCs w:val="28"/>
          <w:lang w:val="pt-BR"/>
        </w:rPr>
      </w:pPr>
      <w:r>
        <w:rPr>
          <w:szCs w:val="28"/>
          <w:lang w:val="pt-BR"/>
        </w:rPr>
        <w:t>- Đại diện lãnh đạo chuyên trách Đoàn đại biểu Quốc hội tỉnh;</w:t>
      </w:r>
    </w:p>
    <w:p>
      <w:pPr>
        <w:spacing w:before="120" w:after="120" w:line="340" w:lineRule="exact"/>
        <w:ind w:firstLine="720"/>
        <w:jc w:val="both"/>
        <w:rPr>
          <w:spacing w:val="-8"/>
          <w:szCs w:val="28"/>
          <w:lang w:val="pt-BR"/>
        </w:rPr>
      </w:pPr>
      <w:r>
        <w:rPr>
          <w:spacing w:val="-8"/>
          <w:szCs w:val="28"/>
          <w:lang w:val="pt-BR"/>
        </w:rPr>
        <w:t>- Lãnh đạo các ban Hội đồng nhân dân tỉnh;</w:t>
      </w:r>
    </w:p>
    <w:p>
      <w:pPr>
        <w:spacing w:before="120" w:after="120" w:line="340" w:lineRule="exact"/>
        <w:ind w:firstLine="720"/>
        <w:jc w:val="both"/>
        <w:rPr>
          <w:spacing w:val="-4"/>
          <w:szCs w:val="28"/>
          <w:lang w:val="pt-BR"/>
        </w:rPr>
      </w:pPr>
      <w:r>
        <w:rPr>
          <w:spacing w:val="-4"/>
          <w:szCs w:val="28"/>
          <w:lang w:val="pt-BR"/>
        </w:rPr>
        <w:t>- Đại diện Lãnh đạo Văn phòng Đoàn đại biểu Quốc hội và Hội đồng nhân dân tỉnh;</w:t>
      </w:r>
    </w:p>
    <w:p>
      <w:pPr>
        <w:spacing w:before="120" w:after="120" w:line="340" w:lineRule="exact"/>
        <w:ind w:firstLine="720"/>
        <w:jc w:val="both"/>
        <w:rPr>
          <w:spacing w:val="-4"/>
          <w:szCs w:val="28"/>
          <w:lang w:val="pt-BR"/>
        </w:rPr>
      </w:pPr>
      <w:r>
        <w:rPr>
          <w:spacing w:val="-4"/>
          <w:szCs w:val="28"/>
          <w:lang w:val="pt-BR"/>
        </w:rPr>
        <w:t>- Đại diện lãnh đạo các sở: Y tế, Tài chính, Nội vụ và các sở, ngành, đơn vị liên quan.</w:t>
      </w:r>
    </w:p>
    <w:p>
      <w:pPr>
        <w:spacing w:before="120" w:after="120" w:line="340" w:lineRule="exact"/>
        <w:ind w:firstLine="720"/>
        <w:jc w:val="both"/>
        <w:rPr>
          <w:szCs w:val="28"/>
          <w:lang w:val="pt-BR"/>
        </w:rPr>
      </w:pPr>
      <w:r>
        <w:rPr>
          <w:szCs w:val="28"/>
          <w:lang w:val="pt-BR"/>
        </w:rPr>
        <w:t>- Đại diện Thường trực Hội đồng nhân dân các xã, phường nơi Đoàn đến giám sát.</w:t>
      </w:r>
    </w:p>
    <w:p>
      <w:pPr>
        <w:spacing w:before="120" w:after="120" w:line="340" w:lineRule="exact"/>
        <w:ind w:firstLine="720"/>
        <w:jc w:val="both"/>
        <w:rPr>
          <w:b/>
          <w:bCs/>
          <w:szCs w:val="28"/>
          <w:lang w:val="pt-BR"/>
        </w:rPr>
      </w:pPr>
      <w:r>
        <w:rPr>
          <w:b/>
          <w:bCs/>
          <w:szCs w:val="28"/>
          <w:lang w:val="pt-BR"/>
        </w:rPr>
        <w:t>1.3. Tổ tham mưu, giúp việc Đoàn giám sát</w:t>
      </w:r>
    </w:p>
    <w:p>
      <w:pPr>
        <w:spacing w:before="120" w:after="120" w:line="340" w:lineRule="exact"/>
        <w:ind w:firstLine="720"/>
        <w:jc w:val="both"/>
        <w:rPr>
          <w:szCs w:val="28"/>
          <w:lang w:val="pt-BR"/>
        </w:rPr>
      </w:pPr>
      <w:r>
        <w:rPr>
          <w:szCs w:val="28"/>
          <w:lang w:val="pt-BR"/>
        </w:rPr>
        <w:t>- Bà Bùi Thị Hồng Sâm, Trưởng phòng Công tác Hội đồng nhân dân, Văn phòng Đoàn đại biểu Quốc hội và Hội đồng nhân dân tỉnh - Tổ trưởng.</w:t>
      </w:r>
    </w:p>
    <w:p>
      <w:pPr>
        <w:spacing w:before="120" w:after="120" w:line="340" w:lineRule="exact"/>
        <w:ind w:firstLine="720"/>
        <w:jc w:val="both"/>
        <w:rPr>
          <w:szCs w:val="28"/>
          <w:lang w:val="pt-BR"/>
        </w:rPr>
      </w:pPr>
      <w:r>
        <w:rPr>
          <w:szCs w:val="28"/>
          <w:lang w:val="pt-BR"/>
        </w:rPr>
        <w:t>- Ông Nguyễn Ngọc Thạch, Phó Trưởng phòng Công tác Hội đồng nhân dân, Văn phòng Đoàn đại biểu Quốc hội và Hội đồng nhân dân tỉnh - Thành viên, thư ký Đoàn giám sát.</w:t>
      </w:r>
    </w:p>
    <w:p>
      <w:pPr>
        <w:spacing w:before="120" w:after="120" w:line="340" w:lineRule="exact"/>
        <w:ind w:firstLine="720"/>
        <w:jc w:val="both"/>
        <w:rPr>
          <w:szCs w:val="28"/>
          <w:lang w:val="pt-BR"/>
        </w:rPr>
      </w:pPr>
      <w:r>
        <w:rPr>
          <w:szCs w:val="28"/>
          <w:lang w:val="pt-BR"/>
        </w:rPr>
        <w:t>- Bà Ngô Thị Linh Chi, Chuyên viên phòng Công tác Hội đồng nhân dân, Văn phòng Đoàn đại biểu Quốc hội và Hội đồng nhân dân tỉnh - Thành viên.</w:t>
      </w:r>
    </w:p>
    <w:p>
      <w:pPr>
        <w:spacing w:before="120" w:after="120" w:line="340" w:lineRule="exact"/>
        <w:ind w:firstLine="720"/>
        <w:jc w:val="both"/>
        <w:rPr>
          <w:spacing w:val="-6"/>
          <w:szCs w:val="28"/>
          <w:lang w:val="pt-BR"/>
        </w:rPr>
      </w:pPr>
      <w:r>
        <w:rPr>
          <w:spacing w:val="-6"/>
          <w:szCs w:val="28"/>
          <w:lang w:val="pt-BR"/>
        </w:rPr>
        <w:t>Kính mời: Ông Hoàng Song Hào, Trưởng phòng Tổ chức - Hành chính Sở Y tế tham gia thành viên Tổ tham mưu, giúp việc.</w:t>
      </w:r>
    </w:p>
    <w:p>
      <w:pPr>
        <w:spacing w:before="120" w:after="120" w:line="340" w:lineRule="exact"/>
        <w:ind w:firstLine="720"/>
        <w:jc w:val="both"/>
        <w:rPr>
          <w:b/>
          <w:bCs/>
          <w:lang w:val="pt-BR"/>
        </w:rPr>
      </w:pPr>
      <w:r>
        <w:rPr>
          <w:b/>
          <w:szCs w:val="28"/>
          <w:lang w:val="pt-BR"/>
        </w:rPr>
        <w:lastRenderedPageBreak/>
        <w:t xml:space="preserve">Điều 2. </w:t>
      </w:r>
      <w:r>
        <w:rPr>
          <w:b/>
          <w:bCs/>
          <w:lang w:val="pt-BR"/>
        </w:rPr>
        <w:t>Mục đích, yêu cầu, phạm vi, đối tượng, nội dung và kế hoạch giám sát</w:t>
      </w:r>
    </w:p>
    <w:p>
      <w:pPr>
        <w:pStyle w:val="NormalWeb"/>
        <w:shd w:val="clear" w:color="auto" w:fill="FFFFFF"/>
        <w:spacing w:before="120" w:beforeAutospacing="0" w:after="120" w:afterAutospacing="0" w:line="340" w:lineRule="exact"/>
        <w:ind w:firstLine="720"/>
        <w:jc w:val="both"/>
        <w:rPr>
          <w:b/>
          <w:bCs/>
          <w:sz w:val="28"/>
          <w:szCs w:val="28"/>
          <w:lang w:val="pt-BR"/>
        </w:rPr>
      </w:pPr>
      <w:r>
        <w:rPr>
          <w:b/>
          <w:bCs/>
          <w:sz w:val="28"/>
          <w:szCs w:val="28"/>
          <w:lang w:val="pt-BR"/>
        </w:rPr>
        <w:t>1. Mục đích giám sát</w:t>
      </w:r>
    </w:p>
    <w:p>
      <w:pPr>
        <w:pStyle w:val="NormalWeb"/>
        <w:shd w:val="clear" w:color="auto" w:fill="FFFFFF"/>
        <w:spacing w:before="120" w:beforeAutospacing="0" w:after="120" w:afterAutospacing="0" w:line="340" w:lineRule="exact"/>
        <w:ind w:firstLine="720"/>
        <w:jc w:val="both"/>
        <w:rPr>
          <w:sz w:val="28"/>
          <w:szCs w:val="28"/>
          <w:lang w:val="pt-BR"/>
        </w:rPr>
      </w:pPr>
      <w:r>
        <w:rPr>
          <w:sz w:val="28"/>
          <w:szCs w:val="28"/>
          <w:lang w:val="pt-BR"/>
        </w:rPr>
        <w:t>Đánh giá khách quan, toàn diện về tổ chức, hoạt động của hệ thống y tế trên địa bàn tỉnh; tập trung làm rõ kết quả thực hiện chính sách, pháp luật về tổ chức, bộ máy, mạng lưới y tế; nhân lực, tài chính, cơ sở vật chất, trang thiết bị và cung ứng các dịch vụ y tế thiết yếu phục vụ hoạt động khám bệnh, chữa bệnh và chăm sóc sức khỏe Nhân dân giai đoạn 2024 - 2026; phát hiện những bất cập, vướng mắc về cơ chế, chính sách; những hạn chế, nguyên nhân và trách nhiệm của các cơ quan, đơn vị, địa phương trong quá trình thực hiện chính sách, pháp luật trên lĩnh vực y tế.</w:t>
      </w:r>
    </w:p>
    <w:p>
      <w:pPr>
        <w:pStyle w:val="NormalWeb"/>
        <w:shd w:val="clear" w:color="auto" w:fill="FFFFFF"/>
        <w:spacing w:before="120" w:beforeAutospacing="0" w:after="120" w:afterAutospacing="0" w:line="340" w:lineRule="exact"/>
        <w:ind w:firstLine="720"/>
        <w:jc w:val="both"/>
        <w:rPr>
          <w:b/>
          <w:bCs/>
          <w:sz w:val="28"/>
          <w:szCs w:val="28"/>
          <w:lang w:val="pt-BR"/>
        </w:rPr>
      </w:pPr>
      <w:r>
        <w:rPr>
          <w:sz w:val="28"/>
          <w:szCs w:val="28"/>
          <w:lang w:val="pt-BR"/>
        </w:rPr>
        <w:t>Đề xuất, kiến nghị với các cơ quan có thẩm quyền sửa đổi, bổ sung, hoàn thiện cơ chế, chính sách, giải pháp tổ chức thực hiện nhằm tháo gỡ khó khăn, khắc phục hạn chế, nâng cao hiệu lực, hiệu quả quản lý nhà nước và chất lượng công tác bảo vệ, chăm sóc, nâng cao sức khỏe Nhân dân trên địa bàn tỉnh.</w:t>
      </w:r>
    </w:p>
    <w:p>
      <w:pPr>
        <w:tabs>
          <w:tab w:val="left" w:pos="630"/>
        </w:tabs>
        <w:spacing w:before="120" w:after="120" w:line="340" w:lineRule="exact"/>
        <w:ind w:firstLine="720"/>
        <w:jc w:val="both"/>
        <w:rPr>
          <w:b/>
          <w:bCs/>
          <w:szCs w:val="28"/>
          <w:lang w:val="es-ES"/>
        </w:rPr>
      </w:pPr>
      <w:r>
        <w:rPr>
          <w:b/>
          <w:szCs w:val="28"/>
          <w:lang w:val="nl-NL"/>
        </w:rPr>
        <w:t xml:space="preserve">2. Yêu cầu </w:t>
      </w:r>
      <w:r>
        <w:rPr>
          <w:b/>
          <w:bCs/>
          <w:szCs w:val="28"/>
          <w:lang w:val="es-ES"/>
        </w:rPr>
        <w:t>giám sát</w:t>
      </w:r>
    </w:p>
    <w:p>
      <w:pPr>
        <w:tabs>
          <w:tab w:val="left" w:pos="630"/>
        </w:tabs>
        <w:spacing w:before="120" w:after="120" w:line="340" w:lineRule="exact"/>
        <w:ind w:firstLine="720"/>
        <w:jc w:val="both"/>
        <w:rPr>
          <w:b/>
          <w:bCs/>
          <w:szCs w:val="28"/>
          <w:lang w:val="es-ES"/>
        </w:rPr>
      </w:pPr>
      <w:r>
        <w:rPr>
          <w:rFonts w:eastAsia="Times New Roman"/>
          <w:szCs w:val="28"/>
          <w:lang w:val="pt-BR"/>
        </w:rPr>
        <w:t xml:space="preserve">Hoạt động giám sát phải bảo đảm khách quan, toàn diện, công khai, minh bạch, đúng quy định của pháp luật; thực hiện đúng thẩm quyền, trình tự, thủ tục theo quy định của Luật Hoạt động giám sát của Quốc hội và Hội đồng nhân dân và các quy định pháp luật có liên quan. </w:t>
      </w:r>
    </w:p>
    <w:p>
      <w:pPr>
        <w:tabs>
          <w:tab w:val="left" w:pos="630"/>
        </w:tabs>
        <w:spacing w:before="120" w:after="120" w:line="340" w:lineRule="exact"/>
        <w:ind w:firstLine="720"/>
        <w:jc w:val="both"/>
        <w:rPr>
          <w:b/>
          <w:bCs/>
          <w:szCs w:val="28"/>
          <w:lang w:val="es-ES"/>
        </w:rPr>
      </w:pPr>
      <w:r>
        <w:rPr>
          <w:rFonts w:eastAsia="Times New Roman"/>
          <w:szCs w:val="28"/>
          <w:lang w:val="es-ES"/>
        </w:rPr>
        <w:t>Quá trình giám sát không làm ảnh hưởng đến hoạt động bình thường của các cơ quan, đơn vị, địa phương chịu sự giám sát; tăng cường phối hợp, trao đổi thông tin, bảo đảm chất lượng, tiến độ và hiệu quả của hoạt động giám sát.</w:t>
      </w:r>
    </w:p>
    <w:p>
      <w:pPr>
        <w:spacing w:before="120" w:after="120" w:line="340" w:lineRule="exact"/>
        <w:ind w:firstLine="720"/>
        <w:jc w:val="both"/>
        <w:rPr>
          <w:b/>
          <w:bCs/>
          <w:szCs w:val="28"/>
          <w:lang w:val="es-ES"/>
        </w:rPr>
      </w:pPr>
      <w:r>
        <w:rPr>
          <w:b/>
          <w:bCs/>
          <w:szCs w:val="28"/>
          <w:lang w:val="bin-NG"/>
        </w:rPr>
        <w:t>3</w:t>
      </w:r>
      <w:r>
        <w:rPr>
          <w:b/>
          <w:bCs/>
          <w:szCs w:val="28"/>
          <w:lang w:val="es-ES"/>
        </w:rPr>
        <w:t>. Phạm vi giám sát</w:t>
      </w:r>
    </w:p>
    <w:p>
      <w:pPr>
        <w:spacing w:before="120" w:after="120" w:line="340" w:lineRule="exact"/>
        <w:ind w:firstLine="720"/>
        <w:jc w:val="both"/>
        <w:rPr>
          <w:szCs w:val="28"/>
          <w:lang w:val="es-ES"/>
        </w:rPr>
      </w:pPr>
      <w:r>
        <w:rPr>
          <w:szCs w:val="28"/>
          <w:lang w:val="es-ES"/>
        </w:rPr>
        <w:t xml:space="preserve">Việc thực hiện chính sách, pháp luật </w:t>
      </w:r>
      <w:r>
        <w:rPr>
          <w:lang w:val="es-ES"/>
        </w:rPr>
        <w:t xml:space="preserve">về tổ chức và hoạt động của hệ thống y tế trên địa bàn tỉnh </w:t>
      </w:r>
      <w:r>
        <w:rPr>
          <w:szCs w:val="28"/>
          <w:lang w:val="es-ES"/>
        </w:rPr>
        <w:t xml:space="preserve">Hà Tĩnh. </w:t>
      </w:r>
    </w:p>
    <w:p>
      <w:pPr>
        <w:spacing w:before="120" w:after="120" w:line="340" w:lineRule="exact"/>
        <w:ind w:firstLine="720"/>
        <w:jc w:val="both"/>
        <w:rPr>
          <w:szCs w:val="28"/>
          <w:lang w:val="bin-NG"/>
        </w:rPr>
      </w:pPr>
      <w:r>
        <w:rPr>
          <w:szCs w:val="28"/>
          <w:lang w:val="es-ES"/>
        </w:rPr>
        <w:t>Thời điểm số liệu giám sát: từ ngày 01/01/2024 đến 30/6/2026</w:t>
      </w:r>
      <w:r>
        <w:rPr>
          <w:szCs w:val="28"/>
          <w:lang w:val="bin-NG"/>
        </w:rPr>
        <w:t>. Đối với Kế hoạch số 417/KH-UBND ngày 23/6/2026 của Ủy ban nhân dân tỉnh về triển khai Khám sức khỏe định kỳ hoặc khám sàng lọc miễn phí cho người dân trên địa bàn tỉnh Hà Tĩnh năm 2026: báo cáo thêm thông tin cập nhật từ 01/7/2026 đến thời điểm đơn vị xây dựng báo cáo gửi Đoàn giám sát.</w:t>
      </w:r>
    </w:p>
    <w:p>
      <w:pPr>
        <w:pStyle w:val="NormalWeb"/>
        <w:shd w:val="clear" w:color="auto" w:fill="FFFFFF"/>
        <w:spacing w:before="120" w:beforeAutospacing="0" w:after="120" w:afterAutospacing="0" w:line="340" w:lineRule="exact"/>
        <w:ind w:firstLine="720"/>
        <w:jc w:val="both"/>
        <w:rPr>
          <w:b/>
          <w:bCs/>
          <w:color w:val="000000"/>
          <w:sz w:val="28"/>
          <w:szCs w:val="28"/>
          <w:lang w:val="bin-NG"/>
        </w:rPr>
      </w:pPr>
      <w:r>
        <w:rPr>
          <w:b/>
          <w:bCs/>
          <w:color w:val="000000"/>
          <w:sz w:val="28"/>
          <w:szCs w:val="28"/>
          <w:lang w:val="bin-NG"/>
        </w:rPr>
        <w:t xml:space="preserve">4. </w:t>
      </w:r>
      <w:r>
        <w:rPr>
          <w:b/>
          <w:bCs/>
          <w:sz w:val="28"/>
          <w:szCs w:val="28"/>
          <w:lang w:val="es-ES"/>
        </w:rPr>
        <w:t>Đối tượng giám sát</w:t>
      </w:r>
    </w:p>
    <w:p>
      <w:pPr>
        <w:spacing w:before="120" w:after="120" w:line="340" w:lineRule="exact"/>
        <w:ind w:firstLine="720"/>
        <w:jc w:val="both"/>
        <w:rPr>
          <w:szCs w:val="28"/>
          <w:lang w:val="bin-NG"/>
        </w:rPr>
      </w:pPr>
      <w:r>
        <w:rPr>
          <w:szCs w:val="28"/>
          <w:lang w:val="bin-NG"/>
        </w:rPr>
        <w:t>4.1. Đối tượng giám sát trực tiếp</w:t>
      </w:r>
    </w:p>
    <w:p>
      <w:pPr>
        <w:spacing w:before="120" w:after="120" w:line="340" w:lineRule="exact"/>
        <w:ind w:firstLine="720"/>
        <w:jc w:val="both"/>
        <w:rPr>
          <w:szCs w:val="28"/>
          <w:lang w:val="bin-NG"/>
        </w:rPr>
      </w:pPr>
      <w:r>
        <w:rPr>
          <w:szCs w:val="28"/>
          <w:lang w:val="bin-NG"/>
        </w:rPr>
        <w:t>- Ủy ban nhân dân tỉnh.</w:t>
      </w:r>
    </w:p>
    <w:p>
      <w:pPr>
        <w:spacing w:before="120" w:after="120" w:line="340" w:lineRule="exact"/>
        <w:ind w:firstLine="720"/>
        <w:jc w:val="both"/>
        <w:rPr>
          <w:color w:val="000000"/>
          <w:szCs w:val="28"/>
          <w:shd w:val="clear" w:color="auto" w:fill="FFFFFF"/>
          <w:lang w:val="bin-NG"/>
        </w:rPr>
      </w:pPr>
      <w:r>
        <w:rPr>
          <w:szCs w:val="28"/>
          <w:lang w:val="bin-NG"/>
        </w:rPr>
        <w:t xml:space="preserve">- Sở Y tế, Sở </w:t>
      </w:r>
      <w:r>
        <w:rPr>
          <w:color w:val="000000"/>
          <w:szCs w:val="28"/>
          <w:shd w:val="clear" w:color="auto" w:fill="FFFFFF"/>
          <w:lang w:val="bin-NG"/>
        </w:rPr>
        <w:t>Tài chính, Sở Nội vụ và các cơ quan</w:t>
      </w:r>
      <w:r>
        <w:rPr>
          <w:lang w:val="bin-NG"/>
        </w:rPr>
        <w:t xml:space="preserve"> </w:t>
      </w:r>
      <w:r>
        <w:rPr>
          <w:color w:val="000000"/>
          <w:szCs w:val="28"/>
          <w:shd w:val="clear" w:color="auto" w:fill="FFFFFF"/>
          <w:lang w:val="bin-NG"/>
        </w:rPr>
        <w:t>thuộc Ủy ban nhân dân tỉnh có trách nhiệm trực tiếp trong việc tham mưu, tổ chức thực hiện các nội dung thuộc chuyên đề giám sát.</w:t>
      </w:r>
    </w:p>
    <w:p>
      <w:pPr>
        <w:spacing w:before="120" w:after="120" w:line="340" w:lineRule="exact"/>
        <w:ind w:firstLine="720"/>
        <w:jc w:val="both"/>
        <w:rPr>
          <w:szCs w:val="28"/>
          <w:lang w:val="bin-NG"/>
        </w:rPr>
      </w:pPr>
      <w:r>
        <w:rPr>
          <w:szCs w:val="28"/>
          <w:lang w:val="bin-NG"/>
        </w:rPr>
        <w:lastRenderedPageBreak/>
        <w:t>- Bệnh viện, Trung tâm y tế thuộc phạm vi quản lý của tỉnh.</w:t>
      </w:r>
    </w:p>
    <w:p>
      <w:pPr>
        <w:spacing w:before="120" w:after="120" w:line="340" w:lineRule="exact"/>
        <w:ind w:firstLine="720"/>
        <w:jc w:val="both"/>
        <w:rPr>
          <w:color w:val="000000"/>
          <w:szCs w:val="28"/>
          <w:shd w:val="clear" w:color="auto" w:fill="FFFFFF"/>
          <w:lang w:val="bin-NG"/>
        </w:rPr>
      </w:pPr>
      <w:r>
        <w:rPr>
          <w:szCs w:val="28"/>
          <w:lang w:val="bin-NG"/>
        </w:rPr>
        <w:t>- Ủy ban nhân dân các</w:t>
      </w:r>
      <w:r>
        <w:rPr>
          <w:color w:val="000000"/>
          <w:szCs w:val="28"/>
          <w:shd w:val="clear" w:color="auto" w:fill="FFFFFF"/>
          <w:lang w:val="bin-NG"/>
        </w:rPr>
        <w:t xml:space="preserve"> xã, phường.</w:t>
      </w:r>
    </w:p>
    <w:p>
      <w:pPr>
        <w:spacing w:before="120" w:after="120" w:line="340" w:lineRule="exact"/>
        <w:ind w:firstLine="720"/>
        <w:jc w:val="both"/>
        <w:rPr>
          <w:color w:val="000000"/>
          <w:szCs w:val="28"/>
          <w:shd w:val="clear" w:color="auto" w:fill="FFFFFF"/>
          <w:lang w:val="bin-NG"/>
        </w:rPr>
      </w:pPr>
      <w:r>
        <w:rPr>
          <w:color w:val="000000"/>
          <w:szCs w:val="28"/>
          <w:shd w:val="clear" w:color="auto" w:fill="FFFFFF"/>
          <w:lang w:val="bin-NG"/>
        </w:rPr>
        <w:t>- Trạm y tế các xã, phường.</w:t>
      </w:r>
    </w:p>
    <w:p>
      <w:pPr>
        <w:spacing w:before="120" w:after="120" w:line="340" w:lineRule="exact"/>
        <w:ind w:firstLine="720"/>
        <w:jc w:val="both"/>
        <w:rPr>
          <w:szCs w:val="28"/>
          <w:lang w:val="bin-NG"/>
        </w:rPr>
      </w:pPr>
      <w:r>
        <w:rPr>
          <w:szCs w:val="28"/>
          <w:lang w:val="bin-NG"/>
        </w:rPr>
        <w:t>4.2. Cơ quan, tổ chức, cá nhân có liên quan phục vụ hoạt động giám sát.</w:t>
      </w:r>
    </w:p>
    <w:p>
      <w:pPr>
        <w:spacing w:before="120" w:after="120" w:line="340" w:lineRule="exact"/>
        <w:ind w:firstLine="720"/>
        <w:jc w:val="both"/>
        <w:rPr>
          <w:b/>
          <w:bCs/>
          <w:szCs w:val="28"/>
          <w:lang w:val="bin-NG"/>
        </w:rPr>
      </w:pPr>
      <w:r>
        <w:rPr>
          <w:b/>
          <w:bCs/>
          <w:szCs w:val="28"/>
          <w:lang w:val="bin-NG"/>
        </w:rPr>
        <w:t xml:space="preserve">5. Nội dung giám sát </w:t>
      </w:r>
    </w:p>
    <w:p>
      <w:pPr>
        <w:spacing w:before="120" w:after="120" w:line="340" w:lineRule="exact"/>
        <w:ind w:firstLine="720"/>
        <w:jc w:val="both"/>
        <w:rPr>
          <w:szCs w:val="28"/>
          <w:lang w:val="bin-NG"/>
        </w:rPr>
      </w:pPr>
      <w:r>
        <w:rPr>
          <w:szCs w:val="28"/>
          <w:lang w:val="bin-NG"/>
        </w:rPr>
        <w:t>Đoàn giám sát tập trung vào các nhóm vấn đề trọng tâm sau:</w:t>
      </w:r>
    </w:p>
    <w:p>
      <w:pPr>
        <w:pStyle w:val="NormalWeb"/>
        <w:spacing w:before="120" w:beforeAutospacing="0" w:after="120" w:afterAutospacing="0" w:line="340" w:lineRule="exact"/>
        <w:ind w:firstLine="720"/>
        <w:jc w:val="both"/>
        <w:rPr>
          <w:spacing w:val="-4"/>
          <w:sz w:val="28"/>
          <w:szCs w:val="28"/>
          <w:lang w:val="bin-NG"/>
        </w:rPr>
      </w:pPr>
      <w:r>
        <w:rPr>
          <w:spacing w:val="-4"/>
          <w:sz w:val="28"/>
          <w:szCs w:val="28"/>
          <w:lang w:val="bin-NG"/>
        </w:rPr>
        <w:t>5.1. Công tác chỉ đạo, điều hành của Ủy ban nhân dân tỉnh; việc tham mưu, cụ thể hóa và tổ chức thực hiện của Sở Y tế và các cơ quan, đơn vị có liên quan đối với chủ trương của Đảng, chính sách, pháp luật của Nhà nước</w:t>
      </w:r>
      <w:r>
        <w:rPr>
          <w:sz w:val="28"/>
          <w:szCs w:val="28"/>
          <w:lang w:val="bin-NG"/>
        </w:rPr>
        <w:t xml:space="preserve"> về tổ chức, bộ máy, mạng lưới y tế; nhân lực, tài chính, cơ sở vật chất, trang thiết bị và cung ứng các dịch vụ y tế thiết yếu phục vụ hoạt động khám bệnh, chữa bệnh và chăm sóc sức khỏe nhân dân giai đoạn 2024 - 2026</w:t>
      </w:r>
    </w:p>
    <w:p>
      <w:pPr>
        <w:pStyle w:val="pdq2pgselectionanchorcontainer"/>
        <w:spacing w:before="120" w:beforeAutospacing="0" w:after="120" w:afterAutospacing="0" w:line="340" w:lineRule="exact"/>
        <w:ind w:firstLine="720"/>
        <w:jc w:val="both"/>
        <w:rPr>
          <w:sz w:val="28"/>
          <w:szCs w:val="28"/>
          <w:lang w:val="bin-NG"/>
        </w:rPr>
      </w:pPr>
      <w:r>
        <w:rPr>
          <w:rStyle w:val="Strong"/>
          <w:b w:val="0"/>
          <w:sz w:val="28"/>
          <w:szCs w:val="28"/>
          <w:lang w:val="bin-NG"/>
        </w:rPr>
        <w:t>5.2.</w:t>
      </w:r>
      <w:r>
        <w:rPr>
          <w:sz w:val="28"/>
          <w:szCs w:val="28"/>
          <w:lang w:val="bin-NG"/>
        </w:rPr>
        <w:t xml:space="preserve"> Kết quả thực hiện chính sách, pháp luật về tổ chức và hoạt động của hệ thống y tế giai đoạn từ năm 2024 đến 30/6/2026 </w:t>
      </w:r>
    </w:p>
    <w:p>
      <w:pPr>
        <w:pStyle w:val="pdq2pgselectionanchorcontainer"/>
        <w:spacing w:before="120" w:beforeAutospacing="0" w:after="120" w:afterAutospacing="0" w:line="340" w:lineRule="exact"/>
        <w:ind w:firstLine="720"/>
        <w:jc w:val="both"/>
        <w:rPr>
          <w:i/>
          <w:iCs/>
          <w:sz w:val="28"/>
          <w:szCs w:val="28"/>
          <w:lang w:val="bin-NG"/>
        </w:rPr>
      </w:pPr>
      <w:r>
        <w:rPr>
          <w:i/>
          <w:iCs/>
          <w:sz w:val="28"/>
          <w:szCs w:val="28"/>
          <w:lang w:val="bin-NG"/>
        </w:rPr>
        <w:t>a) Tổ chức, hệ thống và quản lý nhà nước về y tế</w:t>
      </w:r>
    </w:p>
    <w:p>
      <w:pPr>
        <w:spacing w:after="160" w:line="278" w:lineRule="auto"/>
        <w:ind w:firstLine="720"/>
        <w:jc w:val="both"/>
        <w:rPr>
          <w:spacing w:val="-4"/>
          <w:lang w:val="bin-NG"/>
        </w:rPr>
      </w:pPr>
      <w:r>
        <w:rPr>
          <w:spacing w:val="-4"/>
          <w:szCs w:val="28"/>
          <w:lang w:val="bin-NG"/>
        </w:rPr>
        <w:t xml:space="preserve">- </w:t>
      </w:r>
      <w:r>
        <w:rPr>
          <w:spacing w:val="-4"/>
          <w:lang w:val="bin-NG"/>
        </w:rPr>
        <w:t xml:space="preserve">Việc sắp xếp, kiện toàn tổ chức bộ máy, cơ cấu tổ chức, biên chế, chức năng, nhiệm vụ của Sở Y tế và các đơn vị trực thuộc; việc tổ chức, sắp xếp mạng lưới y tế phù hợp với chính quyền địa phương hai cấp; phân định trách nhiệm giữa Sở Y tế, Ủy ban nhân dân cấp xã và các cơ quan liên quan; tác động của việc sắp xếp đến hoạt động chuyên môn và khả năng tiếp cận dịch vụ y tế của Nhân dân. </w:t>
      </w:r>
    </w:p>
    <w:p>
      <w:pPr>
        <w:spacing w:after="160" w:line="278" w:lineRule="auto"/>
        <w:ind w:firstLine="720"/>
        <w:jc w:val="both"/>
        <w:rPr>
          <w:spacing w:val="-4"/>
          <w:lang w:val="bin-NG"/>
        </w:rPr>
      </w:pPr>
      <w:r>
        <w:rPr>
          <w:spacing w:val="-4"/>
          <w:lang w:val="bin-NG"/>
        </w:rPr>
        <w:t xml:space="preserve">- Công tác quản lý nhà nước đối với hoạt động khám bệnh, chữa bệnh, y tế dự phòng, dược, an toàn thực phẩm, dân số, y dược cổ truyền và hành nghề y, dược ngoài công lập; việc cấp phép, thanh tra, kiểm tra, hậu kiểm và xử lý vi phạm. </w:t>
      </w:r>
    </w:p>
    <w:p>
      <w:pPr>
        <w:pStyle w:val="NormalWeb"/>
        <w:spacing w:before="120" w:beforeAutospacing="0" w:after="120" w:afterAutospacing="0" w:line="340" w:lineRule="exact"/>
        <w:ind w:firstLine="720"/>
        <w:jc w:val="both"/>
        <w:rPr>
          <w:i/>
          <w:iCs/>
          <w:spacing w:val="-4"/>
          <w:sz w:val="28"/>
          <w:szCs w:val="28"/>
          <w:lang w:val="bin-NG"/>
        </w:rPr>
      </w:pPr>
      <w:r>
        <w:rPr>
          <w:i/>
          <w:iCs/>
          <w:spacing w:val="-4"/>
          <w:sz w:val="28"/>
          <w:szCs w:val="28"/>
          <w:lang w:val="bin-NG"/>
        </w:rPr>
        <w:t>b) Nguồn lực và điều kiện đảm bảo</w:t>
      </w:r>
    </w:p>
    <w:p>
      <w:pPr>
        <w:pStyle w:val="NormalWeb"/>
        <w:spacing w:before="120" w:beforeAutospacing="0" w:after="120" w:afterAutospacing="0" w:line="340" w:lineRule="exact"/>
        <w:ind w:firstLine="720"/>
        <w:jc w:val="both"/>
        <w:rPr>
          <w:sz w:val="28"/>
          <w:szCs w:val="28"/>
          <w:lang w:val="bin-NG"/>
        </w:rPr>
      </w:pPr>
      <w:r>
        <w:rPr>
          <w:sz w:val="28"/>
          <w:szCs w:val="28"/>
          <w:lang w:val="bin-NG"/>
        </w:rPr>
        <w:t>-  Thực trạng nguồn nhân lực y tế; việc tuyển dụng, sử dụng, đào tạo, bồi dưỡng, thu hút đội ngũ bác sĩ, dược sĩ và nhân viên y tế; mức độ đáp ứng yêu cầu chuyên môn tại các cơ sở y tế.</w:t>
      </w:r>
    </w:p>
    <w:p>
      <w:pPr>
        <w:spacing w:after="160" w:line="278" w:lineRule="auto"/>
        <w:ind w:firstLine="720"/>
        <w:jc w:val="both"/>
        <w:rPr>
          <w:lang w:val="bin-NG"/>
        </w:rPr>
      </w:pPr>
      <w:r>
        <w:rPr>
          <w:lang w:val="bin-NG"/>
        </w:rPr>
        <w:t xml:space="preserve">- Thực trạng cơ sở vật chất, trang thiết bị, thuốc và vật tư y tế; việc đầu tư, mua sắm, quản lý, khai thác, sử dụng và điều chuyển; tình trạng thiếu, thừa, xuống cấp, không đồng bộ hoặc sử dụng chưa hiệu quả. </w:t>
      </w:r>
    </w:p>
    <w:p>
      <w:pPr>
        <w:pStyle w:val="NormalWeb"/>
        <w:spacing w:before="120" w:beforeAutospacing="0" w:after="120" w:afterAutospacing="0" w:line="340" w:lineRule="exact"/>
        <w:ind w:firstLine="720"/>
        <w:jc w:val="both"/>
        <w:rPr>
          <w:i/>
          <w:iCs/>
          <w:sz w:val="28"/>
          <w:szCs w:val="28"/>
          <w:lang w:val="bin-NG"/>
        </w:rPr>
      </w:pPr>
      <w:r>
        <w:rPr>
          <w:i/>
          <w:iCs/>
          <w:sz w:val="28"/>
          <w:szCs w:val="28"/>
          <w:lang w:val="bin-NG"/>
        </w:rPr>
        <w:t>c) Hoạt động cung ứng dịch vụ y tế</w:t>
      </w:r>
    </w:p>
    <w:p>
      <w:pPr>
        <w:spacing w:after="160" w:line="278" w:lineRule="auto"/>
        <w:ind w:firstLine="720"/>
        <w:jc w:val="both"/>
        <w:rPr>
          <w:lang w:val="bin-NG"/>
        </w:rPr>
      </w:pPr>
      <w:r>
        <w:rPr>
          <w:lang w:val="bin-NG"/>
        </w:rPr>
        <w:t xml:space="preserve">- Kết quả thực hiện công tác khám bệnh, chữa bệnh, y tế dự phòng, phòng, chống dịch bệnh, chăm sóc sức khỏe ban đầu và các chương trình y tế - dân số; chất lượng dịch vụ, khả năng tiếp cận của Nhân dân, việc chuyển tuyến, quá tải và bảo đảm an toàn người bệnh. </w:t>
      </w:r>
    </w:p>
    <w:p>
      <w:pPr>
        <w:spacing w:after="160" w:line="278" w:lineRule="auto"/>
        <w:ind w:firstLine="720"/>
        <w:jc w:val="both"/>
        <w:rPr>
          <w:lang w:val="bin-NG"/>
        </w:rPr>
      </w:pPr>
      <w:r>
        <w:rPr>
          <w:lang w:val="bin-NG"/>
        </w:rPr>
        <w:lastRenderedPageBreak/>
        <w:t xml:space="preserve">- Hoạt động của y tế cơ sở sau sắp xếp; việc duy trì các điểm y tế, cung ứng dịch vụ thiết yếu, quản lý bệnh không lây nhiễm, tiêm chủng, chăm sóc sức khỏe bà mẹ, trẻ em và quản lý sức khỏe người dân. </w:t>
      </w:r>
    </w:p>
    <w:p>
      <w:pPr>
        <w:spacing w:after="160" w:line="278" w:lineRule="auto"/>
        <w:ind w:firstLine="720"/>
        <w:jc w:val="both"/>
        <w:rPr>
          <w:lang w:val="bin-NG"/>
        </w:rPr>
      </w:pPr>
      <w:r>
        <w:rPr>
          <w:lang w:val="bin-NG"/>
        </w:rPr>
        <w:t xml:space="preserve">- Công tác chuẩn bị và kết quả bước đầu triển khai Kế hoạch số 417/KH-UBND ngày 23/6/2026 của UBND tỉnh; việc bố trí nguồn lực, tổ chức khám, cập nhật dữ liệu vào hồ sơ sức khỏe điện tử và xử lý các khó khăn, vướng mắc. </w:t>
      </w:r>
    </w:p>
    <w:p>
      <w:pPr>
        <w:pStyle w:val="NormalWeb"/>
        <w:spacing w:before="120" w:beforeAutospacing="0" w:after="120" w:afterAutospacing="0" w:line="340" w:lineRule="exact"/>
        <w:ind w:firstLine="720"/>
        <w:jc w:val="both"/>
        <w:rPr>
          <w:i/>
          <w:iCs/>
          <w:sz w:val="28"/>
          <w:szCs w:val="28"/>
          <w:lang w:val="bin-NG"/>
        </w:rPr>
      </w:pPr>
      <w:r>
        <w:rPr>
          <w:i/>
          <w:iCs/>
          <w:sz w:val="28"/>
          <w:szCs w:val="28"/>
          <w:lang w:val="bin-NG"/>
        </w:rPr>
        <w:t xml:space="preserve">d) Tài chính, tự chủ, ứng dụng công nghệ thông tin và chuyển đổi số </w:t>
      </w:r>
    </w:p>
    <w:p>
      <w:pPr>
        <w:spacing w:after="160" w:line="278" w:lineRule="auto"/>
        <w:ind w:firstLine="720"/>
        <w:jc w:val="both"/>
        <w:rPr>
          <w:lang w:val="bin-NG"/>
        </w:rPr>
      </w:pPr>
      <w:r>
        <w:rPr>
          <w:lang w:val="bin-NG"/>
        </w:rPr>
        <w:t xml:space="preserve">- Việc phân bổ và sử dụng ngân sách y tế, nhất là kinh phí dành cho y tế dự phòng và y tế cơ sở; thực hiện cơ chế tự chủ tại các đơn vị sự nghiệp y tế; việc phối hợp quản lý, sử dụng Quỹ Bảo hiểm y tế và thanh toán chi phí khám bệnh, chữa bệnh BHYT. </w:t>
      </w:r>
    </w:p>
    <w:p>
      <w:pPr>
        <w:pStyle w:val="NormalWeb"/>
        <w:spacing w:before="120" w:beforeAutospacing="0" w:after="120" w:afterAutospacing="0" w:line="340" w:lineRule="exact"/>
        <w:ind w:firstLine="720"/>
        <w:jc w:val="both"/>
        <w:rPr>
          <w:spacing w:val="-4"/>
          <w:sz w:val="28"/>
          <w:szCs w:val="28"/>
          <w:lang w:val="bin-NG"/>
        </w:rPr>
      </w:pPr>
      <w:r>
        <w:rPr>
          <w:spacing w:val="-4"/>
          <w:sz w:val="28"/>
          <w:szCs w:val="28"/>
          <w:lang w:val="bin-NG"/>
        </w:rPr>
        <w:t>- Kết quả thực hiện chuyển đổi số trong lĩnh vực y tế; xây dựng, quản lý và khai thác cơ sở dữ liệu y tế; triển khai hồ sơ sức khỏe điện tử, bệnh án điện tử và ứng dụng công nghệ thông tin trong quản lý, điều hành, khám bệnh, chữa bệnh.</w:t>
      </w:r>
    </w:p>
    <w:p>
      <w:pPr>
        <w:pStyle w:val="NormalWeb"/>
        <w:spacing w:before="120" w:beforeAutospacing="0" w:after="120" w:afterAutospacing="0" w:line="340" w:lineRule="exact"/>
        <w:ind w:firstLine="720"/>
        <w:jc w:val="both"/>
        <w:rPr>
          <w:i/>
          <w:iCs/>
          <w:spacing w:val="-4"/>
          <w:sz w:val="28"/>
          <w:szCs w:val="28"/>
          <w:lang w:val="bin-NG"/>
        </w:rPr>
      </w:pPr>
      <w:r>
        <w:rPr>
          <w:i/>
          <w:iCs/>
          <w:spacing w:val="-4"/>
          <w:sz w:val="28"/>
          <w:szCs w:val="28"/>
          <w:lang w:val="bin-NG"/>
        </w:rPr>
        <w:t>đ) Công tác phối hợp xử lý tồn tại</w:t>
      </w:r>
    </w:p>
    <w:p>
      <w:pPr>
        <w:spacing w:after="160" w:line="278" w:lineRule="auto"/>
        <w:ind w:firstLine="720"/>
        <w:jc w:val="both"/>
        <w:rPr>
          <w:lang w:val="bin-NG"/>
        </w:rPr>
      </w:pPr>
      <w:r>
        <w:rPr>
          <w:lang w:val="bin-NG"/>
        </w:rPr>
        <w:t xml:space="preserve">- Công tác phối hợp giữa các cơ quan, đơn vị, địa phương; việc thanh tra, kiểm tra, giải quyết khiếu nại, tố cáo, phản ánh, kiến nghị và xử lý vi phạm; việc khắc phục các hạn chế đã được cơ quan thanh tra, kiểm toán, giám sát và cơ quan có thẩm quyền chỉ ra. </w:t>
      </w:r>
    </w:p>
    <w:p>
      <w:pPr>
        <w:pStyle w:val="NormalWeb"/>
        <w:spacing w:before="120" w:beforeAutospacing="0" w:after="120" w:afterAutospacing="0" w:line="340" w:lineRule="exact"/>
        <w:ind w:firstLine="720"/>
        <w:jc w:val="both"/>
        <w:rPr>
          <w:sz w:val="28"/>
          <w:szCs w:val="28"/>
          <w:lang w:val="bin-NG"/>
        </w:rPr>
      </w:pPr>
      <w:r>
        <w:rPr>
          <w:sz w:val="28"/>
          <w:szCs w:val="28"/>
          <w:lang w:val="bin-NG"/>
        </w:rPr>
        <w:t>5.3. Kết quả thực hiện các nghị quyết, chính sách của Trung ương và của Hội đồng nhân dân tỉnh trong lĩnh vực y tế.</w:t>
      </w:r>
    </w:p>
    <w:p>
      <w:pPr>
        <w:pStyle w:val="NormalWeb"/>
        <w:spacing w:before="120" w:beforeAutospacing="0" w:after="120" w:afterAutospacing="0" w:line="340" w:lineRule="exact"/>
        <w:ind w:firstLine="720"/>
        <w:jc w:val="both"/>
        <w:rPr>
          <w:sz w:val="28"/>
          <w:szCs w:val="28"/>
          <w:lang w:val="bin-NG"/>
        </w:rPr>
      </w:pPr>
      <w:r>
        <w:rPr>
          <w:sz w:val="28"/>
          <w:szCs w:val="28"/>
          <w:lang w:val="bin-NG"/>
        </w:rPr>
        <w:t>- Kết quả bước đầu thực hiện Nghị quyết số 72-NQ/TW ngày 09/9/2025 của Bộ Chính trị về một số giải pháp đột phá, tăng cường bảo vệ, chăm sóc và nâng cao sức khỏe cho Nhân dân.</w:t>
      </w:r>
    </w:p>
    <w:p>
      <w:pPr>
        <w:pStyle w:val="NormalWeb"/>
        <w:spacing w:before="120" w:beforeAutospacing="0" w:after="120" w:afterAutospacing="0" w:line="340" w:lineRule="exact"/>
        <w:ind w:firstLine="720"/>
        <w:jc w:val="both"/>
        <w:rPr>
          <w:sz w:val="28"/>
          <w:szCs w:val="28"/>
          <w:lang w:val="bin-NG"/>
        </w:rPr>
      </w:pPr>
      <w:r>
        <w:rPr>
          <w:sz w:val="28"/>
          <w:szCs w:val="28"/>
          <w:lang w:val="bin-NG"/>
        </w:rPr>
        <w:t>- Kết quả thực hiện Nghị quyết số 181/2025/ND-HĐND của Hội đồng nhân dân tỉnh quy định chính sách hỗ trợ người thuộc hộ nghèo, hộ cận nghèo, người bệnh tâm thần, người nhiễm HIV/AIDS và một số đối tượng khó khăn khi khám bệnh, chữa bệnh tại các cơ sở y tế.</w:t>
      </w:r>
    </w:p>
    <w:p>
      <w:pPr>
        <w:pStyle w:val="NormalWeb"/>
        <w:spacing w:before="120" w:beforeAutospacing="0" w:after="120" w:afterAutospacing="0" w:line="340" w:lineRule="exact"/>
        <w:ind w:firstLine="720"/>
        <w:jc w:val="both"/>
        <w:rPr>
          <w:sz w:val="28"/>
          <w:szCs w:val="28"/>
          <w:lang w:val="bin-NG"/>
        </w:rPr>
      </w:pPr>
      <w:r>
        <w:rPr>
          <w:sz w:val="28"/>
          <w:szCs w:val="28"/>
          <w:lang w:val="bin-NG"/>
        </w:rPr>
        <w:t>- Kết quả triển khai Kế hoạch số 417/KH-UBND ngày 23/6/2026 của Ủy ban nhân dân tỉnh về triển khai khám sức khỏe định kỳ hoặc khám sàng lọc miễn phí cho người dân trên địa bàn tỉnh; tiến độ thực hiện, tỷ lệ người dân được khám, chất lượng khám, nguồn lực thực hiện, việc cập nhật dữ liệu vào hồ sơ sức khỏe điện tử và những khó khăn, vướng mắc.</w:t>
      </w:r>
    </w:p>
    <w:p>
      <w:pPr>
        <w:pStyle w:val="NormalWeb"/>
        <w:spacing w:before="120" w:beforeAutospacing="0" w:after="120" w:afterAutospacing="0" w:line="340" w:lineRule="exact"/>
        <w:ind w:firstLine="720"/>
        <w:jc w:val="both"/>
        <w:rPr>
          <w:sz w:val="28"/>
          <w:szCs w:val="28"/>
          <w:lang w:val="bin-NG"/>
        </w:rPr>
      </w:pPr>
      <w:r>
        <w:rPr>
          <w:sz w:val="28"/>
          <w:szCs w:val="28"/>
          <w:lang w:val="bin-NG"/>
        </w:rPr>
        <w:t>- Kết quả thực hiện Nghị quyết số 71/2022/NQ-HĐND của Hội đồng nhân dân tỉnh về Một số cơ chế, chính sách đối với lĩnh vực Y tế công lập trên địa bàn tỉnh Hà Tĩnh, giai đoạn 2022-2025.</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b/>
          <w:bCs/>
          <w:szCs w:val="28"/>
          <w:lang w:val="bin-NG"/>
        </w:rPr>
      </w:pPr>
      <w:r>
        <w:rPr>
          <w:b/>
          <w:bCs/>
          <w:szCs w:val="28"/>
          <w:lang w:val="bin-NG"/>
        </w:rPr>
        <w:lastRenderedPageBreak/>
        <w:t>6. Kế hoạch giám sát</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rStyle w:val="Strong"/>
          <w:b w:val="0"/>
          <w:i/>
          <w:lang w:val="bin-NG"/>
        </w:rPr>
      </w:pPr>
      <w:r>
        <w:rPr>
          <w:rStyle w:val="Strong"/>
          <w:b w:val="0"/>
          <w:i/>
          <w:lang w:val="bin-NG"/>
        </w:rPr>
        <w:t>6.1. Chuẩn bị giám sát (dự kiến tháng 8/2026)</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lang w:val="bin-NG"/>
        </w:rPr>
      </w:pPr>
      <w:r>
        <w:rPr>
          <w:lang w:val="bin-NG"/>
        </w:rPr>
        <w:t>Ban hành Quyết định thành lập Đoàn giám sát; xây dựng và ban hành Kế hoạch giám sát, Đề cương yêu cầu báo cáo; gửi đến các cơ quan, đơn vị được giám sát. Các cơ quan, đơn vị xây dựng báo cáo, chuẩn bị hồ sơ, tài liệu và gửi về Đoàn giám sát theo yêu cầu.</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rStyle w:val="Strong"/>
          <w:b w:val="0"/>
          <w:i/>
          <w:lang w:val="bin-NG"/>
        </w:rPr>
      </w:pPr>
      <w:r>
        <w:rPr>
          <w:rStyle w:val="Strong"/>
          <w:b w:val="0"/>
          <w:i/>
          <w:lang w:val="bin-NG"/>
        </w:rPr>
        <w:t>6.2. Nghiên cứu báo cáo, khảo sát và giám sát trực tiếp (dự kiến tháng 8 - 9/2026)</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lang w:val="bin-NG"/>
        </w:rPr>
      </w:pPr>
      <w:r>
        <w:rPr>
          <w:lang w:val="bin-NG"/>
        </w:rPr>
        <w:t>Đoàn giám sát nghiên cứu báo cáo, hồ sơ, tài liệu do các cơ quan, đơn vị cung cấp; tổ chức khảo sát thực tế và làm việc trực tiếp với một số cơ quan, đơn vị, địa phương thuộc đối tượng giám sát; khảo sát tại một số bệnh viện, trung tâm y tế khu vực, trạm y tế xã, phường và phối hợp với Sở Y tế có thể khảo sát một số cơ sở khám bệnh, chữa bệnh ngoài công lập (nếu cần) để kiểm chứng thông tin, đánh giá thực tế việc thực hiện chính sách, pháp luật trên lĩnh vực y tế.</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rStyle w:val="Strong"/>
          <w:b w:val="0"/>
          <w:i/>
          <w:lang w:val="bin-NG"/>
        </w:rPr>
      </w:pPr>
      <w:r>
        <w:rPr>
          <w:rStyle w:val="Strong"/>
          <w:b w:val="0"/>
          <w:i/>
          <w:lang w:val="bin-NG"/>
        </w:rPr>
        <w:t>6.3. Xây dựng Báo cáo kết quả giám sát (dự kiến tháng 10/2026)</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lang w:val="bin-NG"/>
        </w:rPr>
      </w:pPr>
      <w:r>
        <w:rPr>
          <w:lang w:val="bin-NG"/>
        </w:rPr>
        <w:t>Trên cơ sở kết quả nghiên cứu, khảo sát và làm việc trực tiếp, Đoàn giám sát xây dựng dự thảo Báo cáo kết quả giám sát; tổ chức họp Ban Văn hóa - Xã hội để xem xét, thảo luận báo cáo. Trường hợp cần thiết, mời các cơ quan, đơn vị chịu sự giám sát tham dự để giải trình, làm rõ các nội dung liên quan trước khi hoàn thiện báo cáo.</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rPr>
          <w:rStyle w:val="Strong"/>
          <w:b w:val="0"/>
          <w:i/>
          <w:lang w:val="bin-NG"/>
        </w:rPr>
      </w:pPr>
      <w:r>
        <w:rPr>
          <w:rStyle w:val="Strong"/>
          <w:b w:val="0"/>
          <w:i/>
          <w:lang w:val="bin-NG"/>
        </w:rPr>
        <w:t>6.4. Báo cáo kết quả giám sát (dự kiến tháng 11/2026)</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lang w:val="bin-NG"/>
        </w:rPr>
      </w:pPr>
      <w:r>
        <w:rPr>
          <w:lang w:val="bin-NG"/>
        </w:rPr>
        <w:t>Ban Văn hóa - Xã hội báo cáo kết quả giám sát với Thường trực Hội đồng nhân dân tỉnh; báo cáo Hội đồng nhân dân tỉnh tại Kỳ họp thường lệ cuối năm 2026 theo quy định.</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rStyle w:val="Strong"/>
          <w:bCs w:val="0"/>
          <w:iCs/>
          <w:lang w:val="bin-NG"/>
        </w:rPr>
      </w:pPr>
      <w:r>
        <w:rPr>
          <w:rStyle w:val="Strong"/>
          <w:bCs w:val="0"/>
          <w:iCs/>
          <w:lang w:val="bin-NG"/>
        </w:rPr>
        <w:t>7. Phương pháp giám sát.</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rStyle w:val="Strong"/>
          <w:b w:val="0"/>
          <w:i/>
          <w:iCs/>
          <w:lang w:val="bin-NG"/>
        </w:rPr>
      </w:pPr>
      <w:r>
        <w:rPr>
          <w:rStyle w:val="Strong"/>
          <w:b w:val="0"/>
          <w:i/>
          <w:iCs/>
          <w:lang w:val="bin-NG"/>
        </w:rPr>
        <w:t>7.1. Giám sát trực tiếp.</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rStyle w:val="Strong"/>
          <w:b w:val="0"/>
          <w:iCs/>
          <w:lang w:val="bin-NG"/>
        </w:rPr>
      </w:pPr>
      <w:r>
        <w:rPr>
          <w:rStyle w:val="Strong"/>
          <w:b w:val="0"/>
          <w:iCs/>
          <w:lang w:val="bin-NG"/>
        </w:rPr>
        <w:t>Đoàn giám sát sẽ tiến hành làm việc trực tiếp tại các cơ quan, đơn vị; nghe báo cáo những nội dung giám sát, đề nghị làm rõ những vấn đề Đoàn giám sát quan tâm.</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rStyle w:val="Strong"/>
          <w:b w:val="0"/>
          <w:i/>
          <w:iCs/>
          <w:lang w:val="bin-NG"/>
        </w:rPr>
      </w:pPr>
      <w:r>
        <w:rPr>
          <w:rStyle w:val="Strong"/>
          <w:b w:val="0"/>
          <w:i/>
          <w:iCs/>
          <w:lang w:val="bin-NG"/>
        </w:rPr>
        <w:t>7.2. Giám sát gián tiếp.</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bCs/>
          <w:iCs/>
          <w:lang w:val="bin-NG"/>
        </w:rPr>
      </w:pPr>
      <w:r>
        <w:rPr>
          <w:rStyle w:val="Strong"/>
          <w:b w:val="0"/>
          <w:iCs/>
          <w:lang w:val="bin-NG"/>
        </w:rPr>
        <w:t>- Trong quá trình giám sát, Đoàn giám sát có thể cử cán bộ tham mưu, giúp việc đến các cơ quan, đơn vị để thu thập, nghiên cứu lài liệu, làm rõ những nội dung cần thiết.</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lang w:val="bin-NG"/>
        </w:rPr>
      </w:pPr>
      <w:r>
        <w:rPr>
          <w:b/>
          <w:bCs/>
          <w:lang w:val="bin-NG"/>
        </w:rPr>
        <w:t>Điều 3. Nhiệm vụ, quyền hạn</w:t>
      </w:r>
      <w:r>
        <w:rPr>
          <w:lang w:val="bin-NG"/>
        </w:rPr>
        <w:t xml:space="preserve"> </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lang w:val="bin-NG"/>
        </w:rPr>
      </w:pPr>
      <w:r>
        <w:rPr>
          <w:lang w:val="bin-NG"/>
        </w:rPr>
        <w:t xml:space="preserve">1. Ban Văn hóa - Xã hội Hội đồng nhân dân tỉnh có nhiệm vụ, quyền hạn: điều chỉnh thành phần Đoàn giám sát trong trường hợp cần thiết theo đề nghị </w:t>
      </w:r>
      <w:r>
        <w:rPr>
          <w:lang w:val="bin-NG"/>
        </w:rPr>
        <w:lastRenderedPageBreak/>
        <w:t xml:space="preserve">của Trưởng Đoàn giám sát. Chỉ đạo Đoàn giám sát xây dựng các đề cương báo cáo, tổ chức triển khai thực hiện và tổng hợp, xây dựng báo cáo kết quả giám sát. Khi xét thấy cần thiết, đề nghị các ban của Hội đồng nhân dân tỉnh phối hợp giám sát về các nội dung liên quan đến chuyên đề giám sát.  </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szCs w:val="28"/>
          <w:lang w:val="es-ES"/>
        </w:rPr>
      </w:pPr>
      <w:r>
        <w:rPr>
          <w:szCs w:val="28"/>
          <w:lang w:val="es-ES"/>
        </w:rPr>
        <w:t>2. Đoàn giám sát xây dựng và thông báo chương trình giám sát, đề cương báo cáo kết quả giám sát của Đoàn giám sát, đề cương báo cáo của cơ quan, tổ chức, cá nhân được giám sát và đề cương báo cáo của cơ quan, tổ chức, cá nhân có liên quan trong thời hạn 15 ngày kể từ ngày ban hành Quyết định thành lập Đoàn giám sát. Thời gian để cơ quan, tổ chức, cá nhân xây dựng báo cáo và gửi đến Đoàn giám sát do Đoàn giám sát quyết định nhưng không ít hơn 20 ngày kể từ ngày thông báo chương trình giám sát. Tổ chức thực hiện đảm bảo đúng nội dung, kế hoạch giám sát và nhiệm vụ, quyền hạn quy định tại khoản 3 Điều 46 Nghị quyết số 114/2025/UBTVQH15. Đoàn giám sát t</w:t>
      </w:r>
      <w:r>
        <w:rPr>
          <w:szCs w:val="28"/>
          <w:lang w:val="vi-VN"/>
        </w:rPr>
        <w:t>ự giải thể sau khi hoàn thành nhiệm vụ</w:t>
      </w:r>
      <w:r>
        <w:rPr>
          <w:szCs w:val="28"/>
          <w:lang w:val="es-ES"/>
        </w:rPr>
        <w:t>.</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spacing w:val="-6"/>
          <w:szCs w:val="28"/>
          <w:lang w:val="es-ES"/>
        </w:rPr>
      </w:pPr>
      <w:r>
        <w:rPr>
          <w:spacing w:val="-6"/>
          <w:szCs w:val="28"/>
          <w:lang w:val="es-ES"/>
        </w:rPr>
        <w:t>3. Văn phòng Đoàn đại biểu Quốc hội và Hội đồng nhân dân tỉnh tham mưu, phục vụ Đoàn giám sát về công tác bảo đảm các hoạt động của Đoàn giám sát.</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szCs w:val="28"/>
          <w:lang w:val="es-ES"/>
        </w:rPr>
      </w:pPr>
      <w:r>
        <w:rPr>
          <w:szCs w:val="28"/>
          <w:lang w:val="es-ES"/>
        </w:rPr>
        <w:t>4. Các cơ quan được giám sát có trách nhiệm cung cấp đầy đủ, trung thực, kịp thời hồ sơ, tài liệu theo yêu cầu; phối hợp bố trí làm việc với Đoàn giám sát; chịu trách nhiệm trước pháp luật về nội dung báo cáo.</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b/>
          <w:bCs/>
          <w:color w:val="000000"/>
          <w:szCs w:val="28"/>
          <w:shd w:val="clear" w:color="auto" w:fill="FFFFFF"/>
          <w:lang w:val="es-ES"/>
        </w:rPr>
      </w:pPr>
      <w:r>
        <w:rPr>
          <w:b/>
          <w:szCs w:val="28"/>
          <w:lang w:val="es-ES"/>
        </w:rPr>
        <w:t>Điều 4.</w:t>
      </w:r>
      <w:r>
        <w:rPr>
          <w:szCs w:val="28"/>
          <w:lang w:val="es-ES"/>
        </w:rPr>
        <w:t xml:space="preserve"> </w:t>
      </w:r>
      <w:r>
        <w:rPr>
          <w:b/>
          <w:bCs/>
          <w:color w:val="000000"/>
          <w:szCs w:val="28"/>
          <w:shd w:val="clear" w:color="auto" w:fill="FFFFFF"/>
          <w:lang w:val="es-ES"/>
        </w:rPr>
        <w:t>Tổ chức thực hiện</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color w:val="000000"/>
          <w:szCs w:val="28"/>
          <w:lang w:val="es-ES"/>
        </w:rPr>
      </w:pPr>
      <w:r>
        <w:rPr>
          <w:color w:val="000000"/>
          <w:szCs w:val="28"/>
          <w:lang w:val="es-ES"/>
        </w:rPr>
        <w:t>1. Ban Văn hóa - Xã hội Hội đồng nhân dân tỉnh, Văn phòng Đoàn đại biểu Quốc hội và Hội đồng nhân dân tỉnh, cơ quan, tổ chức, cá nhân có liên quan và các ông/bà có tên tại Điều 1 có trách nhiệm thi hành Quyết định này.</w:t>
      </w:r>
    </w:p>
    <w:p>
      <w:pPr>
        <w:widowControl w:val="0"/>
        <w:pBdr>
          <w:top w:val="dotted" w:sz="4" w:space="0" w:color="FFFFFF"/>
          <w:left w:val="dotted" w:sz="4" w:space="0" w:color="FFFFFF"/>
          <w:bottom w:val="dotted" w:sz="4" w:space="31" w:color="FFFFFF"/>
          <w:right w:val="dotted" w:sz="4" w:space="29" w:color="FFFFFF"/>
        </w:pBdr>
        <w:shd w:val="clear" w:color="auto" w:fill="FFFFFF"/>
        <w:spacing w:before="120" w:after="120" w:line="340" w:lineRule="exact"/>
        <w:ind w:firstLine="720"/>
        <w:jc w:val="both"/>
        <w:rPr>
          <w:szCs w:val="28"/>
          <w:lang w:val="es-ES"/>
        </w:rPr>
      </w:pPr>
      <w:r>
        <w:rPr>
          <w:color w:val="000000"/>
          <w:szCs w:val="28"/>
          <w:lang w:val="es-ES"/>
        </w:rPr>
        <w:t>2. Quyết định này có hiệu lực thi hành từ ngày ký ban hành./.</w:t>
      </w:r>
    </w:p>
    <w:tbl>
      <w:tblPr>
        <w:tblW w:w="5000" w:type="pct"/>
        <w:tblLook w:val="00A0" w:firstRow="1" w:lastRow="0" w:firstColumn="1" w:lastColumn="0" w:noHBand="0" w:noVBand="0"/>
      </w:tblPr>
      <w:tblGrid>
        <w:gridCol w:w="4326"/>
        <w:gridCol w:w="4746"/>
      </w:tblGrid>
      <w:tr>
        <w:trPr>
          <w:trHeight w:val="1826"/>
        </w:trPr>
        <w:tc>
          <w:tcPr>
            <w:tcW w:w="2384" w:type="pct"/>
          </w:tcPr>
          <w:p>
            <w:pPr>
              <w:spacing w:line="240" w:lineRule="atLeast"/>
              <w:jc w:val="both"/>
              <w:rPr>
                <w:color w:val="000000"/>
                <w:sz w:val="24"/>
                <w:szCs w:val="24"/>
                <w:lang w:val="nl-NL"/>
              </w:rPr>
            </w:pPr>
            <w:r>
              <w:rPr>
                <w:b/>
                <w:bCs/>
                <w:i/>
                <w:iCs/>
                <w:color w:val="000000"/>
                <w:sz w:val="24"/>
                <w:szCs w:val="24"/>
                <w:lang w:val="nl-NL"/>
              </w:rPr>
              <w:t>Nơi nhận</w:t>
            </w:r>
            <w:r>
              <w:rPr>
                <w:color w:val="000000"/>
                <w:sz w:val="24"/>
                <w:szCs w:val="24"/>
                <w:lang w:val="nl-NL"/>
              </w:rPr>
              <w:t>:</w:t>
            </w:r>
          </w:p>
          <w:p>
            <w:pPr>
              <w:rPr>
                <w:color w:val="000000"/>
                <w:sz w:val="22"/>
                <w:lang w:val="nl-NL"/>
              </w:rPr>
            </w:pPr>
            <w:r>
              <w:rPr>
                <w:color w:val="000000"/>
                <w:sz w:val="22"/>
                <w:lang w:val="nl-NL"/>
              </w:rPr>
              <w:t>- Như Điều 4;</w:t>
            </w:r>
          </w:p>
          <w:p>
            <w:pPr>
              <w:rPr>
                <w:color w:val="000000"/>
                <w:sz w:val="22"/>
                <w:lang w:val="nl-NL"/>
              </w:rPr>
            </w:pPr>
            <w:r>
              <w:rPr>
                <w:color w:val="000000"/>
                <w:sz w:val="22"/>
                <w:lang w:val="nl-NL"/>
              </w:rPr>
              <w:t>- Thường trực Tỉnh ủy;</w:t>
            </w:r>
          </w:p>
          <w:p>
            <w:pPr>
              <w:rPr>
                <w:color w:val="000000"/>
                <w:sz w:val="22"/>
                <w:lang w:val="nl-NL"/>
              </w:rPr>
            </w:pPr>
            <w:r>
              <w:rPr>
                <w:color w:val="000000"/>
                <w:sz w:val="22"/>
                <w:lang w:val="nl-NL"/>
              </w:rPr>
              <w:t>- Thường trực HĐND tỉnh;</w:t>
            </w:r>
          </w:p>
          <w:p>
            <w:pPr>
              <w:rPr>
                <w:color w:val="000000"/>
                <w:sz w:val="22"/>
                <w:lang w:val="nl-NL"/>
              </w:rPr>
            </w:pPr>
            <w:r>
              <w:rPr>
                <w:color w:val="000000"/>
                <w:sz w:val="22"/>
                <w:lang w:val="nl-NL"/>
              </w:rPr>
              <w:t>- Ủy ban nhân dân tỉnh;</w:t>
            </w:r>
          </w:p>
          <w:p>
            <w:pPr>
              <w:rPr>
                <w:color w:val="000000"/>
                <w:sz w:val="22"/>
                <w:lang w:val="nl-NL"/>
              </w:rPr>
            </w:pPr>
            <w:r>
              <w:rPr>
                <w:color w:val="000000"/>
                <w:sz w:val="22"/>
                <w:lang w:val="nl-NL"/>
              </w:rPr>
              <w:t>- Ban Thường trực UBMTTQVN tỉnh;</w:t>
            </w:r>
          </w:p>
          <w:p>
            <w:pPr>
              <w:rPr>
                <w:color w:val="000000"/>
                <w:sz w:val="22"/>
                <w:lang w:val="nl-NL"/>
              </w:rPr>
            </w:pPr>
            <w:r>
              <w:rPr>
                <w:color w:val="000000"/>
                <w:sz w:val="22"/>
                <w:lang w:val="nl-NL"/>
              </w:rPr>
              <w:t>- Lãnh đạo VP Đoàn ĐBQH và HĐND tỉnh;</w:t>
            </w:r>
          </w:p>
          <w:p>
            <w:pPr>
              <w:spacing w:line="264" w:lineRule="auto"/>
              <w:jc w:val="both"/>
              <w:rPr>
                <w:color w:val="FF0000"/>
                <w:sz w:val="22"/>
                <w:szCs w:val="22"/>
                <w:lang w:val="nl-NL"/>
              </w:rPr>
            </w:pPr>
            <w:r>
              <w:rPr>
                <w:color w:val="000000"/>
                <w:sz w:val="22"/>
                <w:lang w:val="nl-NL"/>
              </w:rPr>
              <w:t xml:space="preserve">- Các sở, ngành: Y tế, Nội vụ, Tài chính; </w:t>
            </w:r>
          </w:p>
          <w:p>
            <w:pPr>
              <w:spacing w:line="264" w:lineRule="auto"/>
              <w:jc w:val="both"/>
              <w:rPr>
                <w:sz w:val="22"/>
                <w:szCs w:val="22"/>
                <w:lang w:val="nl-NL"/>
              </w:rPr>
            </w:pPr>
            <w:r>
              <w:rPr>
                <w:color w:val="000000"/>
                <w:sz w:val="22"/>
                <w:lang w:val="nl-NL"/>
              </w:rPr>
              <w:t xml:space="preserve">- VP Đoàn ĐBQH&amp;HĐND tỉnh; </w:t>
            </w:r>
          </w:p>
          <w:p>
            <w:pPr>
              <w:spacing w:line="240" w:lineRule="atLeast"/>
              <w:jc w:val="both"/>
              <w:rPr>
                <w:color w:val="000000"/>
              </w:rPr>
            </w:pPr>
            <w:r>
              <w:rPr>
                <w:color w:val="000000"/>
                <w:sz w:val="22"/>
              </w:rPr>
              <w:t>- Lưu: VT, HĐ</w:t>
            </w:r>
            <w:r>
              <w:rPr>
                <w:color w:val="000000"/>
                <w:sz w:val="22"/>
                <w:vertAlign w:val="subscript"/>
              </w:rPr>
              <w:t>3</w:t>
            </w:r>
            <w:r>
              <w:rPr>
                <w:color w:val="000000"/>
                <w:sz w:val="22"/>
              </w:rPr>
              <w:t>.</w:t>
            </w:r>
          </w:p>
        </w:tc>
        <w:tc>
          <w:tcPr>
            <w:tcW w:w="2616" w:type="pct"/>
          </w:tcPr>
          <w:p>
            <w:pPr>
              <w:tabs>
                <w:tab w:val="left" w:pos="1665"/>
                <w:tab w:val="center" w:pos="2770"/>
              </w:tabs>
              <w:spacing w:line="240" w:lineRule="atLeast"/>
              <w:jc w:val="center"/>
              <w:rPr>
                <w:b/>
                <w:bCs/>
                <w:color w:val="000000"/>
                <w:sz w:val="26"/>
                <w:szCs w:val="26"/>
              </w:rPr>
            </w:pPr>
            <w:r>
              <w:rPr>
                <w:b/>
                <w:bCs/>
                <w:color w:val="000000"/>
                <w:sz w:val="26"/>
                <w:szCs w:val="26"/>
              </w:rPr>
              <w:t>TM. BAN VĂN HÓA - XÃ HỘI</w:t>
            </w:r>
          </w:p>
          <w:p>
            <w:pPr>
              <w:spacing w:line="240" w:lineRule="atLeast"/>
              <w:jc w:val="center"/>
              <w:rPr>
                <w:b/>
                <w:bCs/>
                <w:color w:val="000000"/>
                <w:sz w:val="26"/>
                <w:szCs w:val="26"/>
              </w:rPr>
            </w:pPr>
            <w:r>
              <w:rPr>
                <w:b/>
                <w:bCs/>
                <w:color w:val="000000"/>
                <w:sz w:val="26"/>
                <w:szCs w:val="26"/>
              </w:rPr>
              <w:t>TRƯỞNG BAN</w:t>
            </w:r>
          </w:p>
          <w:p>
            <w:pPr>
              <w:spacing w:line="240" w:lineRule="atLeast"/>
              <w:jc w:val="center"/>
              <w:rPr>
                <w:b/>
                <w:bCs/>
                <w:color w:val="000000"/>
                <w:szCs w:val="28"/>
              </w:rPr>
            </w:pPr>
          </w:p>
          <w:p>
            <w:pPr>
              <w:spacing w:line="240" w:lineRule="atLeast"/>
              <w:jc w:val="center"/>
              <w:rPr>
                <w:b/>
                <w:bCs/>
                <w:color w:val="000000"/>
                <w:sz w:val="40"/>
                <w:szCs w:val="28"/>
              </w:rPr>
            </w:pPr>
          </w:p>
          <w:p>
            <w:pPr>
              <w:spacing w:line="240" w:lineRule="atLeast"/>
              <w:jc w:val="center"/>
              <w:rPr>
                <w:b/>
                <w:bCs/>
                <w:color w:val="000000"/>
                <w:szCs w:val="28"/>
              </w:rPr>
            </w:pPr>
          </w:p>
          <w:p>
            <w:pPr>
              <w:spacing w:line="240" w:lineRule="atLeast"/>
              <w:jc w:val="center"/>
              <w:rPr>
                <w:b/>
                <w:bCs/>
                <w:color w:val="000000"/>
                <w:szCs w:val="28"/>
              </w:rPr>
            </w:pPr>
          </w:p>
          <w:p>
            <w:pPr>
              <w:spacing w:line="240" w:lineRule="atLeast"/>
              <w:jc w:val="center"/>
              <w:rPr>
                <w:b/>
                <w:bCs/>
                <w:color w:val="000000"/>
                <w:szCs w:val="28"/>
              </w:rPr>
            </w:pPr>
            <w:r>
              <w:rPr>
                <w:b/>
                <w:bCs/>
                <w:color w:val="000000"/>
                <w:szCs w:val="28"/>
              </w:rPr>
              <w:br/>
            </w:r>
          </w:p>
          <w:p>
            <w:pPr>
              <w:spacing w:line="240" w:lineRule="atLeast"/>
              <w:jc w:val="center"/>
              <w:rPr>
                <w:b/>
                <w:bCs/>
                <w:color w:val="000000"/>
              </w:rPr>
            </w:pPr>
            <w:r>
              <w:rPr>
                <w:b/>
                <w:bCs/>
                <w:color w:val="000000"/>
              </w:rPr>
              <w:t>Đào Thị Anh Nga</w:t>
            </w:r>
          </w:p>
        </w:tc>
      </w:tr>
    </w:tbl>
    <w:p>
      <w:pPr>
        <w:jc w:val="center"/>
        <w:rPr>
          <w:b/>
        </w:rPr>
      </w:pPr>
    </w:p>
    <w:p/>
    <w:sectPr>
      <w:headerReference w:type="even" r:id="rId8"/>
      <w:headerReference w:type="default" r:id="rId9"/>
      <w:footerReference w:type="even" r:id="rId10"/>
      <w:footerReference w:type="default" r:id="rId11"/>
      <w:pgSz w:w="11907" w:h="16834" w:code="9"/>
      <w:pgMar w:top="1134"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6</w:t>
    </w:r>
    <w:r>
      <w:rPr>
        <w:noProof/>
        <w:sz w:val="28"/>
        <w:szCs w:val="28"/>
      </w:rPr>
      <w:fldChar w:fldCharType="end"/>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4A33"/>
    <w:multiLevelType w:val="multilevel"/>
    <w:tmpl w:val="9A7A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86D7A"/>
    <w:multiLevelType w:val="hybridMultilevel"/>
    <w:tmpl w:val="AB56A5D8"/>
    <w:lvl w:ilvl="0" w:tplc="632CFA4A">
      <w:start w:val="1"/>
      <w:numFmt w:val="decimal"/>
      <w:lvlText w:val="%1."/>
      <w:lvlJc w:val="left"/>
      <w:pPr>
        <w:ind w:left="1069" w:hanging="360"/>
      </w:pPr>
      <w:rPr>
        <w:rFonts w:hint="default"/>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4BB002E"/>
    <w:multiLevelType w:val="hybridMultilevel"/>
    <w:tmpl w:val="C8A4E190"/>
    <w:lvl w:ilvl="0" w:tplc="F4A86C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087020"/>
    <w:multiLevelType w:val="multilevel"/>
    <w:tmpl w:val="88BC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D47C1D"/>
    <w:multiLevelType w:val="multilevel"/>
    <w:tmpl w:val="71CE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D5057E"/>
    <w:multiLevelType w:val="multilevel"/>
    <w:tmpl w:val="C56C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F74A9"/>
    <w:multiLevelType w:val="multilevel"/>
    <w:tmpl w:val="9EE6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93A5E"/>
    <w:multiLevelType w:val="multilevel"/>
    <w:tmpl w:val="B03E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6D333E"/>
    <w:multiLevelType w:val="multilevel"/>
    <w:tmpl w:val="1912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4D1721"/>
    <w:multiLevelType w:val="hybridMultilevel"/>
    <w:tmpl w:val="4A0E9336"/>
    <w:lvl w:ilvl="0" w:tplc="4D7865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2"/>
  </w:num>
  <w:num w:numId="3">
    <w:abstractNumId w:val="1"/>
  </w:num>
  <w:num w:numId="4">
    <w:abstractNumId w:val="4"/>
  </w:num>
  <w:num w:numId="5">
    <w:abstractNumId w:val="6"/>
  </w:num>
  <w:num w:numId="6">
    <w:abstractNumId w:val="5"/>
  </w:num>
  <w:num w:numId="7">
    <w:abstractNumId w:val="7"/>
  </w:num>
  <w:num w:numId="8">
    <w:abstractNumId w:val="3"/>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markup="0" w:inkAnnotation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0028D9-CA98-4F44-8D69-51DC43134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lang w:val="en-US" w:eastAsia="en-US" w:bidi="ar-SA"/>
      </w:rPr>
    </w:rPrDefault>
    <w:pPrDefault>
      <w:pPr>
        <w:spacing w:before="120" w:after="12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after="0"/>
      <w:ind w:firstLine="0"/>
      <w:jc w:val="left"/>
    </w:pPr>
  </w:style>
  <w:style w:type="paragraph" w:styleId="Heading2">
    <w:name w:val="heading 2"/>
    <w:basedOn w:val="Normal"/>
    <w:next w:val="Normal"/>
    <w:link w:val="Heading2Char"/>
    <w:qFormat/>
    <w:pPr>
      <w:keepNext/>
      <w:jc w:val="center"/>
      <w:outlineLvl w:val="1"/>
    </w:pPr>
    <w:rPr>
      <w:rFonts w:ascii=".VnTimeH" w:hAnsi=".VnTimeH"/>
      <w:b/>
      <w:bCs/>
    </w:rPr>
  </w:style>
  <w:style w:type="paragraph" w:styleId="Heading4">
    <w:name w:val="heading 4"/>
    <w:basedOn w:val="Normal"/>
    <w:next w:val="Normal"/>
    <w:link w:val="Heading4Char"/>
    <w:qFormat/>
    <w:pPr>
      <w:keepNext/>
      <w:outlineLvl w:val="3"/>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VnTimeH" w:eastAsia="Times New Roman" w:hAnsi=".VnTimeH"/>
      <w:b/>
      <w:bCs/>
      <w:lang w:val="vi-VN"/>
    </w:rPr>
  </w:style>
  <w:style w:type="character" w:customStyle="1" w:styleId="Heading4Char">
    <w:name w:val="Heading 4 Char"/>
    <w:basedOn w:val="DefaultParagraphFont"/>
    <w:link w:val="Heading4"/>
    <w:rPr>
      <w:rFonts w:ascii=".VnTimeH" w:eastAsia="Times New Roman" w:hAnsi=".VnTimeH"/>
      <w:b/>
      <w:sz w:val="26"/>
      <w:lang w:val="vi-VN"/>
    </w:rPr>
  </w:style>
  <w:style w:type="paragraph" w:styleId="Header">
    <w:name w:val="header"/>
    <w:basedOn w:val="Normal"/>
    <w:link w:val="HeaderChar"/>
    <w:uiPriority w:val="99"/>
    <w:pPr>
      <w:tabs>
        <w:tab w:val="center" w:pos="4320"/>
        <w:tab w:val="right" w:pos="8640"/>
      </w:tabs>
    </w:pPr>
    <w:rPr>
      <w:sz w:val="24"/>
    </w:rPr>
  </w:style>
  <w:style w:type="character" w:customStyle="1" w:styleId="HeaderChar">
    <w:name w:val="Header Char"/>
    <w:basedOn w:val="DefaultParagraphFont"/>
    <w:link w:val="Header"/>
    <w:uiPriority w:val="99"/>
    <w:rPr>
      <w:rFonts w:ascii=".VnTime" w:eastAsia="Times New Roman" w:hAnsi=".VnTime"/>
      <w:sz w:val="24"/>
      <w:lang w:val="vi-VN"/>
    </w:rPr>
  </w:style>
  <w:style w:type="character" w:styleId="PageNumber">
    <w:name w:val="page number"/>
    <w:basedOn w:val="DefaultParagraphFont"/>
  </w:style>
  <w:style w:type="paragraph" w:styleId="BodyTextIndent2">
    <w:name w:val="Body Text Indent 2"/>
    <w:basedOn w:val="Normal"/>
    <w:link w:val="BodyTextIndent2Char"/>
    <w:pPr>
      <w:spacing w:before="60"/>
      <w:ind w:firstLine="567"/>
      <w:jc w:val="both"/>
    </w:pPr>
  </w:style>
  <w:style w:type="character" w:customStyle="1" w:styleId="BodyTextIndent2Char">
    <w:name w:val="Body Text Indent 2 Char"/>
    <w:basedOn w:val="DefaultParagraphFont"/>
    <w:link w:val="BodyTextIndent2"/>
    <w:rPr>
      <w:rFonts w:ascii=".VnTime" w:eastAsia="Times New Roman" w:hAnsi=".VnTime"/>
      <w:lang w:val="vi-V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VnTime" w:eastAsia="Times New Roman" w:hAnsi=".VnTime"/>
      <w:lang w:val="vi-VN"/>
    </w:rPr>
  </w:style>
  <w:style w:type="paragraph" w:styleId="BodyText3">
    <w:name w:val="Body Text 3"/>
    <w:basedOn w:val="Normal"/>
    <w:link w:val="BodyText3Char"/>
    <w:pPr>
      <w:spacing w:line="360" w:lineRule="auto"/>
      <w:jc w:val="center"/>
    </w:pPr>
    <w:rPr>
      <w:szCs w:val="28"/>
    </w:rPr>
  </w:style>
  <w:style w:type="character" w:customStyle="1" w:styleId="BodyText3Char">
    <w:name w:val="Body Text 3 Char"/>
    <w:basedOn w:val="DefaultParagraphFont"/>
    <w:link w:val="BodyText3"/>
    <w:rPr>
      <w:rFonts w:ascii=".VnTime" w:eastAsia="Times New Roman" w:hAnsi=".VnTime"/>
      <w:szCs w:val="28"/>
      <w:lang w:val="vi-VN"/>
    </w:rPr>
  </w:style>
  <w:style w:type="paragraph" w:styleId="Revision">
    <w:name w:val="Revision"/>
    <w:hidden/>
    <w:uiPriority w:val="99"/>
    <w:semiHidden/>
    <w:pPr>
      <w:spacing w:before="0" w:after="0"/>
      <w:ind w:firstLine="0"/>
      <w:jc w:val="left"/>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pPr>
    <w:rPr>
      <w:rFonts w:eastAsia="Times New Roman"/>
      <w:sz w:val="24"/>
      <w:szCs w:val="24"/>
    </w:rPr>
  </w:style>
  <w:style w:type="paragraph" w:customStyle="1" w:styleId="normal-p">
    <w:name w:val="normal-p"/>
    <w:basedOn w:val="Normal"/>
    <w:rPr>
      <w:rFonts w:eastAsia="Times New Roman"/>
      <w:sz w:val="20"/>
    </w:rPr>
  </w:style>
  <w:style w:type="character" w:styleId="Strong">
    <w:name w:val="Strong"/>
    <w:basedOn w:val="DefaultParagraphFont"/>
    <w:uiPriority w:val="22"/>
    <w:qFormat/>
    <w:rPr>
      <w:b/>
      <w:bCs/>
    </w:rPr>
  </w:style>
  <w:style w:type="paragraph" w:customStyle="1" w:styleId="pdq2pgselectionanchorcontainer">
    <w:name w:val="pdq2pg_selectionanchorcontainer"/>
    <w:basedOn w:val="Normal"/>
    <w:pPr>
      <w:spacing w:before="100" w:beforeAutospacing="1" w:after="100" w:afterAutospacing="1"/>
    </w:pPr>
    <w:rPr>
      <w:rFonts w:eastAsia="Times New Roman"/>
      <w:sz w:val="24"/>
      <w:szCs w:val="24"/>
    </w:rPr>
  </w:style>
  <w:style w:type="paragraph" w:styleId="NoSpacing">
    <w:name w:val="No Spacing"/>
    <w:uiPriority w:val="1"/>
    <w:qFormat/>
    <w:pPr>
      <w:spacing w:before="0" w:after="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3099">
      <w:bodyDiv w:val="1"/>
      <w:marLeft w:val="0"/>
      <w:marRight w:val="0"/>
      <w:marTop w:val="0"/>
      <w:marBottom w:val="0"/>
      <w:divBdr>
        <w:top w:val="none" w:sz="0" w:space="0" w:color="auto"/>
        <w:left w:val="none" w:sz="0" w:space="0" w:color="auto"/>
        <w:bottom w:val="none" w:sz="0" w:space="0" w:color="auto"/>
        <w:right w:val="none" w:sz="0" w:space="0" w:color="auto"/>
      </w:divBdr>
    </w:div>
    <w:div w:id="183642246">
      <w:bodyDiv w:val="1"/>
      <w:marLeft w:val="0"/>
      <w:marRight w:val="0"/>
      <w:marTop w:val="0"/>
      <w:marBottom w:val="0"/>
      <w:divBdr>
        <w:top w:val="none" w:sz="0" w:space="0" w:color="auto"/>
        <w:left w:val="none" w:sz="0" w:space="0" w:color="auto"/>
        <w:bottom w:val="none" w:sz="0" w:space="0" w:color="auto"/>
        <w:right w:val="none" w:sz="0" w:space="0" w:color="auto"/>
      </w:divBdr>
    </w:div>
    <w:div w:id="1358773925">
      <w:bodyDiv w:val="1"/>
      <w:marLeft w:val="0"/>
      <w:marRight w:val="0"/>
      <w:marTop w:val="0"/>
      <w:marBottom w:val="0"/>
      <w:divBdr>
        <w:top w:val="none" w:sz="0" w:space="0" w:color="auto"/>
        <w:left w:val="none" w:sz="0" w:space="0" w:color="auto"/>
        <w:bottom w:val="none" w:sz="0" w:space="0" w:color="auto"/>
        <w:right w:val="none" w:sz="0" w:space="0" w:color="auto"/>
      </w:divBdr>
    </w:div>
    <w:div w:id="1604146343">
      <w:bodyDiv w:val="1"/>
      <w:marLeft w:val="0"/>
      <w:marRight w:val="0"/>
      <w:marTop w:val="0"/>
      <w:marBottom w:val="0"/>
      <w:divBdr>
        <w:top w:val="none" w:sz="0" w:space="0" w:color="auto"/>
        <w:left w:val="none" w:sz="0" w:space="0" w:color="auto"/>
        <w:bottom w:val="none" w:sz="0" w:space="0" w:color="auto"/>
        <w:right w:val="none" w:sz="0" w:space="0" w:color="auto"/>
      </w:divBdr>
    </w:div>
    <w:div w:id="1606494944">
      <w:bodyDiv w:val="1"/>
      <w:marLeft w:val="0"/>
      <w:marRight w:val="0"/>
      <w:marTop w:val="0"/>
      <w:marBottom w:val="0"/>
      <w:divBdr>
        <w:top w:val="none" w:sz="0" w:space="0" w:color="auto"/>
        <w:left w:val="none" w:sz="0" w:space="0" w:color="auto"/>
        <w:bottom w:val="none" w:sz="0" w:space="0" w:color="auto"/>
        <w:right w:val="none" w:sz="0" w:space="0" w:color="auto"/>
      </w:divBdr>
    </w:div>
    <w:div w:id="163768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943CE-828D-48B7-8F6C-728B312EF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2151</Words>
  <Characters>12263</Characters>
  <Application>Microsoft Office Word</Application>
  <DocSecurity>0</DocSecurity>
  <Lines>102</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QUANG HUAN</cp:lastModifiedBy>
  <cp:revision>2</cp:revision>
  <dcterms:created xsi:type="dcterms:W3CDTF">2026-08-11T09:27:00Z</dcterms:created>
  <dcterms:modified xsi:type="dcterms:W3CDTF">2026-08-11T09:27:00Z</dcterms:modified>
</cp:coreProperties>
</file>