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tabs>
          <w:tab w:val="left" w:pos="851"/>
        </w:tabs>
        <w:ind w:firstLine="0"/>
        <w:jc w:val="center"/>
        <w:rPr>
          <w:b/>
          <w:bCs/>
        </w:rPr>
      </w:pPr>
      <w:r>
        <w:rPr>
          <w:b/>
          <w:bCs/>
        </w:rPr>
        <w:t>ĐỀ CƯƠNG BÁO CÁO (Sở Y tế)</w:t>
      </w:r>
    </w:p>
    <w:p>
      <w:pPr>
        <w:tabs>
          <w:tab w:val="left" w:pos="851"/>
        </w:tabs>
        <w:ind w:firstLine="0"/>
        <w:jc w:val="center"/>
        <w:rPr>
          <w:i/>
          <w:iCs/>
        </w:rPr>
      </w:pPr>
      <w:r>
        <w:rPr>
          <w:i/>
          <w:iCs/>
        </w:rPr>
        <w:t xml:space="preserve">(ban hành kèm theo Quyết định số …../QĐ-HĐND ngày …./8/2026 </w:t>
      </w:r>
    </w:p>
    <w:p>
      <w:pPr>
        <w:tabs>
          <w:tab w:val="left" w:pos="851"/>
        </w:tabs>
        <w:ind w:firstLine="0"/>
        <w:jc w:val="center"/>
        <w:rPr>
          <w:i/>
          <w:iCs/>
        </w:rPr>
      </w:pPr>
      <w:r>
        <w:rPr>
          <w:i/>
          <w:iCs/>
        </w:rPr>
        <w:t>của Ban Văn hóa - Xã hội Hội đồng nhân dân tỉnh)</w:t>
      </w:r>
    </w:p>
    <w:p>
      <w:pPr>
        <w:tabs>
          <w:tab w:val="left" w:pos="851"/>
        </w:tabs>
        <w:ind w:firstLine="0"/>
        <w:jc w:val="center"/>
        <w:rPr>
          <w:b/>
          <w:bCs/>
        </w:rPr>
      </w:pPr>
    </w:p>
    <w:p>
      <w:pPr>
        <w:tabs>
          <w:tab w:val="left" w:pos="851"/>
        </w:tabs>
        <w:ind w:firstLine="0"/>
        <w:jc w:val="center"/>
        <w:rPr>
          <w:b/>
          <w:bCs/>
        </w:rPr>
      </w:pPr>
      <w:r>
        <w:rPr>
          <w:b/>
          <w:bCs/>
        </w:rPr>
        <w:t>BÁO CÁO</w:t>
      </w:r>
    </w:p>
    <w:p>
      <w:pPr>
        <w:tabs>
          <w:tab w:val="left" w:pos="851"/>
        </w:tabs>
        <w:spacing w:before="0"/>
        <w:ind w:firstLine="0"/>
        <w:jc w:val="center"/>
        <w:rPr>
          <w:b/>
          <w:bCs/>
        </w:rPr>
      </w:pPr>
      <w:r>
        <w:rPr>
          <w:b/>
          <w:bCs/>
        </w:rPr>
        <w:t xml:space="preserve">Kết quả thực hiện chính sách, pháp luật về tổ chức và hoạt động của </w:t>
      </w:r>
    </w:p>
    <w:p>
      <w:pPr>
        <w:tabs>
          <w:tab w:val="left" w:pos="851"/>
        </w:tabs>
        <w:spacing w:before="0"/>
        <w:ind w:firstLine="0"/>
        <w:jc w:val="center"/>
        <w:rPr>
          <w:b/>
          <w:bCs/>
        </w:rPr>
      </w:pPr>
      <w:r>
        <w:rPr>
          <w:b/>
          <w:bCs/>
        </w:rPr>
        <w:t>hệ thống y tế trên địa bàn tỉnh</w:t>
      </w:r>
    </w:p>
    <w:p>
      <w:pPr>
        <w:tabs>
          <w:tab w:val="left" w:pos="851"/>
        </w:tabs>
        <w:spacing w:before="0"/>
        <w:jc w:val="center"/>
        <w:rPr>
          <w:b/>
          <w:bCs/>
        </w:rPr>
      </w:pPr>
    </w:p>
    <w:p>
      <w:pPr>
        <w:tabs>
          <w:tab w:val="left" w:pos="0"/>
        </w:tabs>
        <w:spacing w:before="0"/>
        <w:rPr>
          <w:b/>
          <w:bCs/>
          <w:i/>
          <w:iCs/>
          <w:szCs w:val="28"/>
        </w:rPr>
      </w:pPr>
      <w:r>
        <w:rPr>
          <w:b/>
          <w:bCs/>
          <w:i/>
          <w:iCs/>
          <w:szCs w:val="28"/>
        </w:rPr>
        <w:t>Ngoài các nội dung theo đề cương, đơn vị có thể báo cáo kèm theo phụ lục số liệu và các nội dung khác liên quan (nếu có)</w:t>
      </w:r>
    </w:p>
    <w:p>
      <w:pPr>
        <w:tabs>
          <w:tab w:val="left" w:pos="0"/>
        </w:tabs>
        <w:spacing w:before="0"/>
        <w:rPr>
          <w:b/>
          <w:bCs/>
          <w:i/>
          <w:iCs/>
          <w:szCs w:val="28"/>
        </w:rPr>
      </w:pPr>
    </w:p>
    <w:p>
      <w:pPr>
        <w:tabs>
          <w:tab w:val="left" w:pos="0"/>
        </w:tabs>
        <w:spacing w:before="0"/>
        <w:rPr>
          <w:b/>
          <w:bCs/>
          <w:szCs w:val="28"/>
        </w:rPr>
      </w:pPr>
      <w:r>
        <w:rPr>
          <w:b/>
          <w:bCs/>
          <w:szCs w:val="28"/>
        </w:rPr>
        <w:t>I. KHÁI QUÁT ĐẶC ĐIỂM TÌNH HÌNH</w:t>
      </w:r>
    </w:p>
    <w:p>
      <w:pPr>
        <w:tabs>
          <w:tab w:val="left" w:pos="851"/>
        </w:tabs>
        <w:spacing w:before="240" w:after="120"/>
        <w:rPr>
          <w:szCs w:val="28"/>
        </w:rPr>
      </w:pPr>
      <w:r>
        <w:rPr>
          <w:szCs w:val="28"/>
        </w:rPr>
        <w:t xml:space="preserve">1. Khái quát đặc điểm, tình hình có tác động đến công tác bảo vệ, chăm sóc và nâng cao sức khỏe Nhân dân trên địa bàn tỉnh. </w:t>
      </w:r>
    </w:p>
    <w:p>
      <w:pPr>
        <w:tabs>
          <w:tab w:val="left" w:pos="851"/>
        </w:tabs>
        <w:spacing w:before="240" w:after="120"/>
        <w:rPr>
          <w:szCs w:val="28"/>
        </w:rPr>
      </w:pPr>
      <w:r>
        <w:rPr>
          <w:szCs w:val="28"/>
        </w:rPr>
        <w:t>2. Khái quát kết quả thực hiện các chỉ tiêu chủ yếu trong lĩnh vực y tế giai đoạn 2024-2025 và 6 tháng đầu năm 2026; đối chiếu với chỉ tiêu tại các nghị quyết của Tỉnh ủy, Hội đồng nhân dân tỉnh và kế hoạch phát triển kinh tế - xã hội của tỉnh.</w:t>
      </w:r>
    </w:p>
    <w:p>
      <w:pPr>
        <w:tabs>
          <w:tab w:val="left" w:pos="851"/>
        </w:tabs>
        <w:spacing w:before="240" w:after="120"/>
        <w:rPr>
          <w:szCs w:val="28"/>
        </w:rPr>
      </w:pPr>
      <w:r>
        <w:rPr>
          <w:szCs w:val="28"/>
        </w:rPr>
        <w:t>3. Những thuận lợi, khó khăn và yếu tố đặc thù ảnh hưởng đến việc thực hiện chính sách, pháp luật trong lĩnh vực y tế.</w:t>
      </w:r>
    </w:p>
    <w:p>
      <w:pPr>
        <w:tabs>
          <w:tab w:val="left" w:pos="851"/>
        </w:tabs>
        <w:spacing w:before="240" w:after="120"/>
        <w:rPr>
          <w:b/>
          <w:bCs/>
          <w:szCs w:val="28"/>
        </w:rPr>
      </w:pPr>
      <w:r>
        <w:rPr>
          <w:b/>
          <w:bCs/>
          <w:szCs w:val="28"/>
        </w:rPr>
        <w:t>II. CÔNG TÁC CHỈ ĐẠO, ĐIỀU HÀNH VÀ TỔ CHỨC THỰC HIỆN</w:t>
      </w:r>
    </w:p>
    <w:p>
      <w:pPr>
        <w:tabs>
          <w:tab w:val="num" w:pos="720"/>
          <w:tab w:val="left" w:pos="851"/>
        </w:tabs>
        <w:spacing w:before="240" w:after="120"/>
        <w:rPr>
          <w:szCs w:val="28"/>
        </w:rPr>
      </w:pPr>
      <w:r>
        <w:rPr>
          <w:szCs w:val="28"/>
        </w:rPr>
        <w:t xml:space="preserve">1. Công tác tham mưu, ban hành chương trình, kế hoạch, đề án, văn bản chỉ đạo để cụ thể hóa và tổ chức thực hiện các chủ trương của Đảng, chính sách, pháp luật của Nhà nước trong lĩnh vực y tế. </w:t>
      </w:r>
    </w:p>
    <w:p>
      <w:pPr>
        <w:tabs>
          <w:tab w:val="num" w:pos="720"/>
          <w:tab w:val="left" w:pos="851"/>
        </w:tabs>
        <w:spacing w:before="240" w:after="120"/>
        <w:rPr>
          <w:szCs w:val="28"/>
        </w:rPr>
      </w:pPr>
      <w:r>
        <w:rPr>
          <w:szCs w:val="28"/>
        </w:rPr>
        <w:t xml:space="preserve">2. Việc phân công trách nhiệm giữa Ủy ban nhân dân tỉnh, Sở Y tế, các sở, ngành, địa phương và đơn vị có liên quan. </w:t>
      </w:r>
    </w:p>
    <w:p>
      <w:pPr>
        <w:tabs>
          <w:tab w:val="num" w:pos="720"/>
          <w:tab w:val="left" w:pos="851"/>
        </w:tabs>
        <w:spacing w:before="240" w:after="120"/>
        <w:rPr>
          <w:szCs w:val="28"/>
        </w:rPr>
      </w:pPr>
      <w:r>
        <w:rPr>
          <w:szCs w:val="28"/>
        </w:rPr>
        <w:t>3. Việc triển khai các mục tiêu, nhiệm vụ, giải pháp về bảo vệ, chăm sóc và nâng cao sức khỏe Nhân dân.</w:t>
      </w:r>
    </w:p>
    <w:p>
      <w:pPr>
        <w:tabs>
          <w:tab w:val="left" w:pos="851"/>
        </w:tabs>
        <w:spacing w:before="240" w:after="120"/>
        <w:rPr>
          <w:szCs w:val="28"/>
        </w:rPr>
      </w:pPr>
      <w:r>
        <w:rPr>
          <w:szCs w:val="28"/>
        </w:rPr>
        <w:t>4. Công tác kiểm tra, đôn đốc, sơ kết, tổng kết và xử lý các khó khăn, vướng mắc trong quá trình thực hiện.</w:t>
      </w:r>
    </w:p>
    <w:p>
      <w:pPr>
        <w:tabs>
          <w:tab w:val="left" w:pos="851"/>
        </w:tabs>
        <w:spacing w:before="240" w:after="120"/>
        <w:rPr>
          <w:b/>
          <w:bCs/>
          <w:szCs w:val="28"/>
        </w:rPr>
      </w:pPr>
      <w:r>
        <w:rPr>
          <w:b/>
          <w:bCs/>
          <w:szCs w:val="28"/>
        </w:rPr>
        <w:t>III. TỔ CHỨC BỘ MÁY VÀ MẠNG LƯỚI Y TẾ</w:t>
      </w:r>
    </w:p>
    <w:p>
      <w:pPr>
        <w:tabs>
          <w:tab w:val="left" w:pos="851"/>
        </w:tabs>
        <w:spacing w:before="240" w:after="120"/>
        <w:rPr>
          <w:szCs w:val="28"/>
        </w:rPr>
      </w:pPr>
      <w:r>
        <w:rPr>
          <w:szCs w:val="28"/>
        </w:rPr>
        <w:t xml:space="preserve">1. Tổ chức bộ máy của Sở Y tế và các đơn vị trực thuộc. </w:t>
      </w:r>
    </w:p>
    <w:p>
      <w:pPr>
        <w:tabs>
          <w:tab w:val="left" w:pos="0"/>
        </w:tabs>
        <w:spacing w:before="240" w:after="120"/>
        <w:ind w:firstLine="0"/>
        <w:rPr>
          <w:szCs w:val="28"/>
        </w:rPr>
      </w:pPr>
      <w:r>
        <w:rPr>
          <w:szCs w:val="28"/>
        </w:rPr>
        <w:tab/>
        <w:t>2. Kết quả sắp xếp, kiện toàn tổ chức bộ máy ngành y tế.</w:t>
      </w:r>
    </w:p>
    <w:p>
      <w:pPr>
        <w:tabs>
          <w:tab w:val="num" w:pos="720"/>
          <w:tab w:val="left" w:pos="851"/>
        </w:tabs>
        <w:spacing w:before="240" w:after="120"/>
        <w:rPr>
          <w:spacing w:val="-4"/>
          <w:szCs w:val="28"/>
        </w:rPr>
      </w:pPr>
      <w:r>
        <w:rPr>
          <w:spacing w:val="-4"/>
          <w:szCs w:val="28"/>
        </w:rPr>
        <w:lastRenderedPageBreak/>
        <w:t xml:space="preserve">3. Việc tổ chức mạng lưới y tế khi thực hiện chính quyền địa phương hai cấp: </w:t>
      </w:r>
    </w:p>
    <w:p>
      <w:pPr>
        <w:tabs>
          <w:tab w:val="num" w:pos="720"/>
          <w:tab w:val="left" w:pos="851"/>
        </w:tabs>
        <w:spacing w:before="240" w:after="120"/>
        <w:rPr>
          <w:szCs w:val="28"/>
        </w:rPr>
      </w:pPr>
      <w:r>
        <w:rPr>
          <w:szCs w:val="28"/>
        </w:rPr>
        <w:t>Về cơ chế chỉ đạo chuyên môn của Sở Y tế; quan hệ công tác giữa Ủy ban nhân dân xã, phường, trạm y tế và cơ quan chuyên môn ngành y tế; tác động của việc sắp xếp đến chất lượng và khả năng tiếp cận dịch vụ y tế của người dân.</w:t>
      </w:r>
    </w:p>
    <w:p>
      <w:pPr>
        <w:tabs>
          <w:tab w:val="num" w:pos="720"/>
          <w:tab w:val="left" w:pos="851"/>
        </w:tabs>
        <w:spacing w:before="240" w:after="120"/>
        <w:rPr>
          <w:szCs w:val="28"/>
        </w:rPr>
      </w:pPr>
      <w:r>
        <w:rPr>
          <w:szCs w:val="28"/>
        </w:rPr>
        <w:t>4. Thực trạng mạng lưới: bệnh viện tuyến tỉnh; bệnh viện, trung tâm y tế khu vực; Trung tâm Kiểm soát bệnh tật; trạm y tế xã, phường; bệnh viện, phòng khám ngoài công lập; mạng lưới hành nghề y, dược.</w:t>
      </w:r>
    </w:p>
    <w:p>
      <w:pPr>
        <w:tabs>
          <w:tab w:val="left" w:pos="851"/>
        </w:tabs>
        <w:spacing w:before="240" w:after="120"/>
        <w:rPr>
          <w:b/>
          <w:bCs/>
          <w:szCs w:val="28"/>
          <w:lang w:val="fr-FR"/>
        </w:rPr>
      </w:pPr>
      <w:r>
        <w:rPr>
          <w:b/>
          <w:bCs/>
          <w:szCs w:val="28"/>
          <w:lang w:val="fr-FR"/>
        </w:rPr>
        <w:t>IV. NGUỒN NHÂN LỰC Y TẾ</w:t>
      </w:r>
    </w:p>
    <w:p>
      <w:pPr>
        <w:tabs>
          <w:tab w:val="num" w:pos="720"/>
        </w:tabs>
        <w:spacing w:before="60" w:after="60" w:line="360" w:lineRule="exact"/>
        <w:rPr>
          <w:bCs/>
          <w:szCs w:val="28"/>
          <w:lang w:val="nb-NO"/>
        </w:rPr>
      </w:pPr>
      <w:r>
        <w:rPr>
          <w:bCs/>
          <w:szCs w:val="28"/>
          <w:lang w:val="nb-NO"/>
        </w:rPr>
        <w:t xml:space="preserve">1. Biên chế được giao, số người làm việc hiện có, số còn thiếu theo từng cơ quan, đơn vị và vị trí việc làm. </w:t>
      </w:r>
    </w:p>
    <w:p>
      <w:pPr>
        <w:tabs>
          <w:tab w:val="num" w:pos="720"/>
        </w:tabs>
        <w:spacing w:before="60" w:after="60" w:line="360" w:lineRule="exact"/>
        <w:rPr>
          <w:bCs/>
          <w:szCs w:val="28"/>
          <w:lang w:val="nb-NO"/>
        </w:rPr>
      </w:pPr>
      <w:r>
        <w:rPr>
          <w:bCs/>
          <w:szCs w:val="28"/>
          <w:lang w:val="nb-NO"/>
        </w:rPr>
        <w:t xml:space="preserve">2. Số lượng và cơ cấu đội ngũ: Bác sĩ; Dược sĩ; Điều dưỡng, hộ sinh; nhân lực y tế dự phòng; kỹ thuật viên xét nghiệm; nhân lực tại trạm y tế; nhân lực quản lý và chuyên môn khác. </w:t>
      </w:r>
    </w:p>
    <w:p>
      <w:pPr>
        <w:spacing w:before="60" w:after="60" w:line="360" w:lineRule="exact"/>
        <w:rPr>
          <w:bCs/>
          <w:szCs w:val="28"/>
          <w:lang w:val="nb-NO"/>
        </w:rPr>
      </w:pPr>
      <w:r>
        <w:rPr>
          <w:bCs/>
          <w:szCs w:val="28"/>
          <w:lang w:val="nb-NO"/>
        </w:rPr>
        <w:t xml:space="preserve">3. Các chỉ tiêu về nhân lực y tế </w:t>
      </w:r>
      <w:r>
        <w:rPr>
          <w:bCs/>
          <w:i/>
          <w:iCs/>
          <w:szCs w:val="28"/>
          <w:lang w:val="nb-NO"/>
        </w:rPr>
        <w:t>(so sánh với chỉ tiêu, mục tiêu được giao):</w:t>
      </w:r>
      <w:r>
        <w:rPr>
          <w:bCs/>
          <w:szCs w:val="28"/>
          <w:lang w:val="nb-NO"/>
        </w:rPr>
        <w:t xml:space="preserve"> số bác sĩ /1 vạn dân; số dược sĩ đại học/1 vạn dân; số bác sĩ bình quân tại mỗi trạm y tế; tỷ lệ Trạm y tế có đủ chức danh chuyên môn theo quy định.</w:t>
      </w:r>
    </w:p>
    <w:p>
      <w:pPr>
        <w:spacing w:before="60" w:after="60" w:line="360" w:lineRule="exact"/>
        <w:rPr>
          <w:bCs/>
          <w:szCs w:val="28"/>
          <w:lang w:val="nb-NO"/>
        </w:rPr>
      </w:pPr>
      <w:r>
        <w:rPr>
          <w:bCs/>
          <w:szCs w:val="28"/>
          <w:lang w:val="nb-NO"/>
        </w:rPr>
        <w:t xml:space="preserve">4. Công tác tuyển dụng, sử dụng, bố trí và điều động nhân lực: số lượng đã tuyển dụng từng năm; số vị trí chưa tuyển được; tình trạng thừa, thiếu cục bộ; việc luân phiên, điều động, hỗ trợ chuyên môn cho tuyến cơ sở. </w:t>
      </w:r>
    </w:p>
    <w:p>
      <w:pPr>
        <w:tabs>
          <w:tab w:val="num" w:pos="720"/>
        </w:tabs>
        <w:spacing w:before="60" w:after="60" w:line="360" w:lineRule="exact"/>
        <w:rPr>
          <w:bCs/>
          <w:szCs w:val="28"/>
          <w:lang w:val="nb-NO"/>
        </w:rPr>
      </w:pPr>
      <w:r>
        <w:rPr>
          <w:bCs/>
          <w:szCs w:val="28"/>
          <w:lang w:val="nb-NO"/>
        </w:rPr>
        <w:t xml:space="preserve">5. Công tác đào tạo, bồi dưỡng và phát triển chuyên môn. </w:t>
      </w:r>
    </w:p>
    <w:p>
      <w:pPr>
        <w:spacing w:before="60" w:after="60" w:line="360" w:lineRule="exact"/>
        <w:rPr>
          <w:bCs/>
          <w:szCs w:val="28"/>
          <w:lang w:val="nb-NO"/>
        </w:rPr>
      </w:pPr>
      <w:r>
        <w:rPr>
          <w:bCs/>
          <w:szCs w:val="28"/>
          <w:lang w:val="nb-NO"/>
        </w:rPr>
        <w:t>6. Kết quả thực hiện chính sách thu hút, khuyến khích nguồn nhân lực chất lượng cao</w:t>
      </w:r>
    </w:p>
    <w:p>
      <w:pPr>
        <w:spacing w:before="60" w:after="60" w:line="360" w:lineRule="exact"/>
        <w:rPr>
          <w:bCs/>
          <w:szCs w:val="28"/>
          <w:lang w:val="nb-NO"/>
        </w:rPr>
      </w:pPr>
      <w:r>
        <w:rPr>
          <w:bCs/>
          <w:szCs w:val="28"/>
          <w:lang w:val="nb-NO"/>
        </w:rPr>
        <w:t xml:space="preserve">Số đối tượng được hưởng; tổng kinh phí; vị trí, đơn vị công tác; số người nghỉ việc hoặc chuyển công tác; hiệu quả thực tế của chính sách. </w:t>
      </w:r>
    </w:p>
    <w:p>
      <w:pPr>
        <w:spacing w:before="60" w:after="60" w:line="360" w:lineRule="exact"/>
        <w:rPr>
          <w:bCs/>
          <w:szCs w:val="28"/>
          <w:lang w:val="nb-NO"/>
        </w:rPr>
      </w:pPr>
      <w:r>
        <w:rPr>
          <w:bCs/>
          <w:szCs w:val="28"/>
          <w:lang w:val="nb-NO"/>
        </w:rPr>
        <w:t xml:space="preserve">7. Tình trạng cán bộ, viên chức y tế nghỉ việc, chuyển sang khu vực ngoài công lập: </w:t>
      </w:r>
    </w:p>
    <w:p>
      <w:pPr>
        <w:spacing w:before="60" w:after="60" w:line="360" w:lineRule="exact"/>
        <w:rPr>
          <w:bCs/>
          <w:szCs w:val="28"/>
          <w:lang w:val="nb-NO"/>
        </w:rPr>
      </w:pPr>
      <w:r>
        <w:rPr>
          <w:bCs/>
          <w:szCs w:val="28"/>
          <w:lang w:val="nb-NO"/>
        </w:rPr>
        <w:t>Số lượng từng năm; chức danh, chuyên ngành; nguyên nhân, giải pháp khắc phục.</w:t>
      </w:r>
    </w:p>
    <w:p>
      <w:pPr>
        <w:tabs>
          <w:tab w:val="left" w:pos="851"/>
        </w:tabs>
        <w:spacing w:before="240" w:after="120"/>
        <w:rPr>
          <w:b/>
          <w:bCs/>
          <w:szCs w:val="28"/>
          <w:lang w:val="nb-NO"/>
        </w:rPr>
      </w:pPr>
      <w:r>
        <w:rPr>
          <w:b/>
          <w:bCs/>
          <w:szCs w:val="28"/>
          <w:lang w:val="nb-NO"/>
        </w:rPr>
        <w:t>V. THỰC TRẠNG CƠ SỞ VẬT CHẤT</w:t>
      </w:r>
    </w:p>
    <w:p>
      <w:pPr>
        <w:tabs>
          <w:tab w:val="num" w:pos="720"/>
        </w:tabs>
        <w:spacing w:before="60" w:after="60" w:line="360" w:lineRule="exact"/>
        <w:rPr>
          <w:bCs/>
          <w:szCs w:val="28"/>
          <w:lang w:val="nb-NO"/>
        </w:rPr>
      </w:pPr>
      <w:r>
        <w:rPr>
          <w:bCs/>
          <w:szCs w:val="28"/>
          <w:lang w:val="nb-NO"/>
        </w:rPr>
        <w:t xml:space="preserve">1. Thực trạng cơ sở vật chất của các bệnh viện, trung tâm y tế, cơ sở y tế dự phòng và trạm y tế. </w:t>
      </w:r>
    </w:p>
    <w:p>
      <w:pPr>
        <w:spacing w:before="60" w:after="60" w:line="360" w:lineRule="exact"/>
        <w:rPr>
          <w:bCs/>
          <w:szCs w:val="28"/>
          <w:lang w:val="nb-NO"/>
        </w:rPr>
      </w:pPr>
      <w:r>
        <w:rPr>
          <w:bCs/>
          <w:szCs w:val="28"/>
          <w:lang w:val="nb-NO"/>
        </w:rPr>
        <w:t xml:space="preserve">2. Công tác mua sắm, quản lý, sử dụng trang thiết bị y tế: </w:t>
      </w:r>
    </w:p>
    <w:p>
      <w:pPr>
        <w:tabs>
          <w:tab w:val="num" w:pos="720"/>
        </w:tabs>
        <w:spacing w:before="60" w:after="60" w:line="360" w:lineRule="exact"/>
        <w:rPr>
          <w:bCs/>
          <w:szCs w:val="28"/>
          <w:lang w:val="nb-NO"/>
        </w:rPr>
      </w:pPr>
      <w:r>
        <w:rPr>
          <w:bCs/>
          <w:szCs w:val="28"/>
          <w:lang w:val="nb-NO"/>
        </w:rPr>
        <w:t>Việc quản lý, sử dụng tài sản công sau sắp xếp tổ chức bộ máy và chuyển giao trạm y tế.</w:t>
      </w:r>
    </w:p>
    <w:p>
      <w:pPr>
        <w:tabs>
          <w:tab w:val="num" w:pos="720"/>
        </w:tabs>
        <w:spacing w:before="60" w:after="60" w:line="360" w:lineRule="exact"/>
        <w:rPr>
          <w:szCs w:val="28"/>
          <w:lang w:val="nb-NO"/>
        </w:rPr>
      </w:pPr>
      <w:bookmarkStart w:id="0" w:name="_Hlk237264714"/>
      <w:r>
        <w:rPr>
          <w:szCs w:val="28"/>
          <w:lang w:val="nb-NO"/>
        </w:rPr>
        <w:lastRenderedPageBreak/>
        <w:t>3. Tình hình bảo đảm thuốc, hóa chất, sinh phẩm, vật tư y tế</w:t>
      </w:r>
    </w:p>
    <w:bookmarkEnd w:id="0"/>
    <w:p>
      <w:pPr>
        <w:tabs>
          <w:tab w:val="left" w:pos="851"/>
        </w:tabs>
        <w:spacing w:before="240" w:after="120"/>
        <w:rPr>
          <w:b/>
          <w:bCs/>
          <w:szCs w:val="28"/>
          <w:lang w:val="nb-NO"/>
        </w:rPr>
      </w:pPr>
      <w:r>
        <w:rPr>
          <w:b/>
          <w:bCs/>
          <w:szCs w:val="28"/>
          <w:lang w:val="nb-NO"/>
        </w:rPr>
        <w:t>VI. KẾT QUẢ CÔNG TÁC KHÁM BỆNH, CHỮA BỆNH</w:t>
      </w:r>
    </w:p>
    <w:p>
      <w:pPr>
        <w:tabs>
          <w:tab w:val="num" w:pos="720"/>
        </w:tabs>
        <w:spacing w:before="60" w:after="60" w:line="360" w:lineRule="exact"/>
        <w:rPr>
          <w:bCs/>
          <w:szCs w:val="28"/>
          <w:lang w:val="nb-NO"/>
        </w:rPr>
      </w:pPr>
      <w:r>
        <w:rPr>
          <w:bCs/>
          <w:szCs w:val="28"/>
          <w:lang w:val="nb-NO"/>
        </w:rPr>
        <w:t xml:space="preserve">1. Kết quả khám, chữa bệnh trong các năm 2024, 2025 và 6 tháng đầu năm 2026. </w:t>
      </w:r>
    </w:p>
    <w:p>
      <w:pPr>
        <w:tabs>
          <w:tab w:val="num" w:pos="720"/>
        </w:tabs>
        <w:spacing w:before="60" w:after="60" w:line="360" w:lineRule="exact"/>
        <w:rPr>
          <w:bCs/>
          <w:szCs w:val="28"/>
          <w:lang w:val="nb-NO"/>
        </w:rPr>
      </w:pPr>
      <w:r>
        <w:rPr>
          <w:bCs/>
          <w:szCs w:val="28"/>
          <w:lang w:val="nb-NO"/>
        </w:rPr>
        <w:t xml:space="preserve">2. Số giường bệnh kế hoạch, số giường thực kê, công suất sử dụng giường bệnh; tình trạng quá tải hoặc sử dụng chưa hết công suất. </w:t>
      </w:r>
    </w:p>
    <w:p>
      <w:pPr>
        <w:tabs>
          <w:tab w:val="num" w:pos="720"/>
        </w:tabs>
        <w:spacing w:before="60" w:after="60" w:line="360" w:lineRule="exact"/>
        <w:rPr>
          <w:bCs/>
          <w:szCs w:val="28"/>
          <w:lang w:val="nb-NO"/>
        </w:rPr>
      </w:pPr>
      <w:r>
        <w:rPr>
          <w:bCs/>
          <w:szCs w:val="28"/>
          <w:lang w:val="nb-NO"/>
        </w:rPr>
        <w:t xml:space="preserve">3. Chất lượng khám bệnh, chữa bệnh: </w:t>
      </w:r>
    </w:p>
    <w:p>
      <w:pPr>
        <w:tabs>
          <w:tab w:val="num" w:pos="720"/>
        </w:tabs>
        <w:spacing w:before="60" w:after="60" w:line="360" w:lineRule="exact"/>
        <w:rPr>
          <w:bCs/>
          <w:szCs w:val="28"/>
          <w:lang w:val="nb-NO"/>
        </w:rPr>
      </w:pPr>
      <w:r>
        <w:rPr>
          <w:bCs/>
          <w:szCs w:val="28"/>
          <w:lang w:val="nb-NO"/>
        </w:rPr>
        <w:t xml:space="preserve">Kết quả phát triển kỹ thuật mới; tình hình chuyển tuyến; việc tiếp nhận, xử lý phản ánh, kiến nghị của người bệnh. </w:t>
      </w:r>
    </w:p>
    <w:p>
      <w:pPr>
        <w:tabs>
          <w:tab w:val="num" w:pos="720"/>
        </w:tabs>
        <w:spacing w:before="60" w:after="60" w:line="360" w:lineRule="exact"/>
        <w:rPr>
          <w:bCs/>
          <w:szCs w:val="28"/>
          <w:lang w:val="nb-NO"/>
        </w:rPr>
      </w:pPr>
      <w:r>
        <w:rPr>
          <w:bCs/>
          <w:szCs w:val="28"/>
          <w:lang w:val="nb-NO"/>
        </w:rPr>
        <w:t xml:space="preserve">4. Công tác quản lý cơ sở khám bệnh, chữa bệnh ngoài công lập. </w:t>
      </w:r>
    </w:p>
    <w:p>
      <w:pPr>
        <w:tabs>
          <w:tab w:val="num" w:pos="720"/>
        </w:tabs>
        <w:spacing w:before="60" w:after="60" w:line="360" w:lineRule="exact"/>
        <w:rPr>
          <w:bCs/>
          <w:szCs w:val="28"/>
          <w:lang w:val="nb-NO"/>
        </w:rPr>
      </w:pPr>
      <w:r>
        <w:rPr>
          <w:bCs/>
          <w:szCs w:val="28"/>
          <w:lang w:val="nb-NO"/>
        </w:rPr>
        <w:t xml:space="preserve">5. Việc thực hiện khám sức khỏe định kỳ hoặc khám sàng lọc miễn phí cho người dân: </w:t>
      </w:r>
    </w:p>
    <w:p>
      <w:pPr>
        <w:tabs>
          <w:tab w:val="num" w:pos="720"/>
        </w:tabs>
        <w:spacing w:before="60" w:after="60" w:line="360" w:lineRule="exact"/>
        <w:rPr>
          <w:bCs/>
          <w:szCs w:val="28"/>
          <w:lang w:val="nb-NO"/>
        </w:rPr>
      </w:pPr>
      <w:r>
        <w:rPr>
          <w:bCs/>
          <w:szCs w:val="28"/>
          <w:lang w:val="nb-NO"/>
        </w:rPr>
        <w:t>Công tác xây dựng và triển khai kế hoạch; số người thuộc diện được khám; số đã được khám; tỷ lệ hoàn thành; tổ chức tư vấn, điều trị, quản lý sau khám; kinh phí thực hiện; việc cập nhật dữ liệu vào hồ sơ sức khỏe điện tử; khó khăn, vướng mắc và giải pháp.</w:t>
      </w:r>
    </w:p>
    <w:p>
      <w:pPr>
        <w:tabs>
          <w:tab w:val="num" w:pos="720"/>
        </w:tabs>
        <w:spacing w:before="60" w:after="60" w:line="360" w:lineRule="exact"/>
        <w:rPr>
          <w:b/>
          <w:bCs/>
          <w:szCs w:val="28"/>
          <w:lang w:val="nb-NO"/>
        </w:rPr>
      </w:pPr>
      <w:r>
        <w:rPr>
          <w:b/>
          <w:bCs/>
          <w:szCs w:val="28"/>
          <w:lang w:val="nb-NO"/>
        </w:rPr>
        <w:t>VII. CƠ CHẾ TÀI CHÍNH</w:t>
      </w:r>
    </w:p>
    <w:p>
      <w:pPr>
        <w:tabs>
          <w:tab w:val="num" w:pos="720"/>
        </w:tabs>
        <w:spacing w:before="60" w:after="60" w:line="360" w:lineRule="exact"/>
        <w:rPr>
          <w:bCs/>
          <w:szCs w:val="28"/>
          <w:lang w:val="nb-NO"/>
        </w:rPr>
      </w:pPr>
      <w:r>
        <w:rPr>
          <w:bCs/>
          <w:szCs w:val="28"/>
          <w:lang w:val="nb-NO"/>
        </w:rPr>
        <w:t>1. Việc giao và thực hiện cơ chế tự chủ tại các đơn vị sự nghiệp y tế.</w:t>
      </w:r>
    </w:p>
    <w:p>
      <w:pPr>
        <w:tabs>
          <w:tab w:val="num" w:pos="720"/>
        </w:tabs>
        <w:spacing w:before="60" w:after="60" w:line="360" w:lineRule="exact"/>
        <w:rPr>
          <w:bCs/>
          <w:szCs w:val="28"/>
          <w:lang w:val="nb-NO"/>
        </w:rPr>
      </w:pPr>
      <w:r>
        <w:rPr>
          <w:bCs/>
          <w:szCs w:val="28"/>
          <w:lang w:val="nb-NO"/>
        </w:rPr>
        <w:t>2. Việc thanh toán chi phí khám chữa bệnh vượt quy mô giường bệnh hoặc vượt dự toán.</w:t>
      </w:r>
    </w:p>
    <w:p>
      <w:pPr>
        <w:tabs>
          <w:tab w:val="num" w:pos="720"/>
        </w:tabs>
        <w:spacing w:before="60" w:after="60" w:line="360" w:lineRule="exact"/>
        <w:rPr>
          <w:bCs/>
          <w:szCs w:val="28"/>
          <w:lang w:val="nb-NO"/>
        </w:rPr>
      </w:pPr>
      <w:r>
        <w:rPr>
          <w:bCs/>
          <w:szCs w:val="28"/>
          <w:lang w:val="nb-NO"/>
        </w:rPr>
        <w:t>3. Việc phân bổ ngân sách; kinh phí y tế dự phòng/y tế cơ sở; mức tự chủ; thu-chi; nguồn cải cách tiền lương nếu liên quan; BHYT; nợ/treo thanh toán; mua sắm và nguồn đầu tư.</w:t>
      </w:r>
    </w:p>
    <w:p>
      <w:pPr>
        <w:tabs>
          <w:tab w:val="num" w:pos="720"/>
        </w:tabs>
        <w:spacing w:before="60" w:after="60" w:line="360" w:lineRule="exact"/>
        <w:rPr>
          <w:b/>
          <w:szCs w:val="28"/>
          <w:lang w:val="nb-NO"/>
        </w:rPr>
      </w:pPr>
      <w:r>
        <w:rPr>
          <w:b/>
          <w:szCs w:val="28"/>
          <w:lang w:val="nb-NO"/>
        </w:rPr>
        <w:t>VIII. CHUYỂN ĐỔI SỐ TRONG LĨNH VỰC Y TẾ</w:t>
      </w:r>
    </w:p>
    <w:p>
      <w:pPr>
        <w:tabs>
          <w:tab w:val="num" w:pos="720"/>
        </w:tabs>
        <w:spacing w:before="60" w:after="60" w:line="360" w:lineRule="exact"/>
        <w:rPr>
          <w:bCs/>
          <w:szCs w:val="28"/>
          <w:lang w:val="nb-NO"/>
        </w:rPr>
      </w:pPr>
      <w:r>
        <w:rPr>
          <w:bCs/>
          <w:szCs w:val="28"/>
          <w:lang w:val="nb-NO"/>
        </w:rPr>
        <w:t xml:space="preserve">1. Việc xây dựng, quản lý, kết nối và khai thác cơ sở dữ liệu y tế. </w:t>
      </w:r>
    </w:p>
    <w:p>
      <w:pPr>
        <w:tabs>
          <w:tab w:val="num" w:pos="720"/>
        </w:tabs>
        <w:spacing w:before="60" w:after="60" w:line="360" w:lineRule="exact"/>
        <w:rPr>
          <w:bCs/>
          <w:szCs w:val="28"/>
          <w:lang w:val="nb-NO"/>
        </w:rPr>
      </w:pPr>
      <w:r>
        <w:rPr>
          <w:bCs/>
          <w:szCs w:val="28"/>
          <w:lang w:val="nb-NO"/>
        </w:rPr>
        <w:t xml:space="preserve">2. Kết quả triển khai: hồ sơ sức khỏe điện tử; bệnh án điện tử; kê đơn thuốc điện tử; liên thông dữ liệu khám chữa bệnh bảo hiểm y tế; chuyển đổi số trong quản lý, điều hành. </w:t>
      </w:r>
    </w:p>
    <w:p>
      <w:pPr>
        <w:tabs>
          <w:tab w:val="num" w:pos="720"/>
        </w:tabs>
        <w:spacing w:before="60" w:after="60" w:line="360" w:lineRule="exact"/>
        <w:rPr>
          <w:bCs/>
          <w:szCs w:val="28"/>
          <w:lang w:val="nb-NO"/>
        </w:rPr>
      </w:pPr>
      <w:r>
        <w:rPr>
          <w:bCs/>
          <w:szCs w:val="28"/>
          <w:lang w:val="nb-NO"/>
        </w:rPr>
        <w:t xml:space="preserve">3. Tỷ lệ cơ sở y tế đã triển khai; tỷ lệ người dân có dữ liệu sức khỏe; mức độ cập nhật, đầy đủ và chính xác của dữ liệu. </w:t>
      </w:r>
    </w:p>
    <w:p>
      <w:pPr>
        <w:tabs>
          <w:tab w:val="num" w:pos="720"/>
        </w:tabs>
        <w:spacing w:before="60" w:after="60" w:line="360" w:lineRule="exact"/>
        <w:rPr>
          <w:b/>
          <w:bCs/>
          <w:szCs w:val="28"/>
          <w:lang w:val="nb-NO"/>
        </w:rPr>
      </w:pPr>
      <w:r>
        <w:rPr>
          <w:b/>
          <w:bCs/>
          <w:szCs w:val="28"/>
          <w:lang w:val="nb-NO"/>
        </w:rPr>
        <w:t>IX. KẾT QUẢ THỰC HIỆN KẾT LUẬN THANH TRA, KIỂM TRA, KIỂM TOÁN, GIÁM SÁT</w:t>
      </w:r>
    </w:p>
    <w:p>
      <w:pPr>
        <w:tabs>
          <w:tab w:val="num" w:pos="720"/>
        </w:tabs>
        <w:spacing w:before="60" w:after="60" w:line="360" w:lineRule="exact"/>
        <w:rPr>
          <w:szCs w:val="28"/>
          <w:lang w:val="nb-NO"/>
        </w:rPr>
      </w:pPr>
      <w:r>
        <w:rPr>
          <w:szCs w:val="28"/>
          <w:lang w:val="nb-NO"/>
        </w:rPr>
        <w:t>Kết quả thực hiện các kết luận thanh tra, kiểm tra, kiểm toán, giám sát; số kiến nghị, số đã khắc phục, số chưa khắc phục, số tiền/biện pháp phải xử lý.</w:t>
      </w:r>
    </w:p>
    <w:p>
      <w:pPr>
        <w:tabs>
          <w:tab w:val="left" w:pos="851"/>
        </w:tabs>
        <w:spacing w:before="240" w:after="120"/>
        <w:rPr>
          <w:b/>
          <w:bCs/>
          <w:szCs w:val="28"/>
          <w:lang w:val="nb-NO"/>
        </w:rPr>
      </w:pPr>
      <w:r>
        <w:rPr>
          <w:b/>
          <w:bCs/>
          <w:szCs w:val="28"/>
          <w:lang w:val="nb-NO"/>
        </w:rPr>
        <w:lastRenderedPageBreak/>
        <w:t>X. KẾT QUẢ THỰC HIỆN CÁC NGHỊ QUYẾT CỦA HĐND TỈNH TRONG LĨNH VỰC Y TẾ</w:t>
      </w:r>
    </w:p>
    <w:p>
      <w:pPr>
        <w:tabs>
          <w:tab w:val="num" w:pos="720"/>
        </w:tabs>
        <w:spacing w:before="60" w:after="60" w:line="360" w:lineRule="exact"/>
        <w:rPr>
          <w:bCs/>
          <w:szCs w:val="28"/>
          <w:lang w:val="nb-NO"/>
        </w:rPr>
      </w:pPr>
      <w:r>
        <w:rPr>
          <w:bCs/>
          <w:szCs w:val="28"/>
          <w:lang w:val="nb-NO"/>
        </w:rPr>
        <w:t>1. Công tác tổ chức triển khai thực hiện.</w:t>
      </w:r>
    </w:p>
    <w:p>
      <w:pPr>
        <w:tabs>
          <w:tab w:val="num" w:pos="720"/>
        </w:tabs>
        <w:spacing w:before="60" w:after="60" w:line="360" w:lineRule="exact"/>
        <w:rPr>
          <w:bCs/>
          <w:szCs w:val="28"/>
          <w:lang w:val="nb-NO"/>
        </w:rPr>
      </w:pPr>
      <w:r>
        <w:rPr>
          <w:bCs/>
          <w:szCs w:val="28"/>
          <w:lang w:val="nb-NO"/>
        </w:rPr>
        <w:t>2. Khái quát kết quả thực hiện từng nghị quyết. Trong đó nêu rõ:</w:t>
      </w:r>
    </w:p>
    <w:p>
      <w:pPr>
        <w:tabs>
          <w:tab w:val="num" w:pos="720"/>
        </w:tabs>
        <w:spacing w:before="60" w:after="60" w:line="360" w:lineRule="exact"/>
        <w:rPr>
          <w:bCs/>
          <w:szCs w:val="28"/>
          <w:lang w:val="nb-NO"/>
        </w:rPr>
      </w:pPr>
      <w:r>
        <w:rPr>
          <w:bCs/>
          <w:szCs w:val="28"/>
          <w:lang w:val="nb-NO"/>
        </w:rPr>
        <w:t>- Kết quả đạt được: số đối tượng được hưởng, kinh phí bố trí, tỉ lệ giải ngân; mức độ hoàn thành mục tiêu, chỉ tiêu; kết quả đầu ra và tác động.</w:t>
      </w:r>
    </w:p>
    <w:p>
      <w:pPr>
        <w:tabs>
          <w:tab w:val="num" w:pos="720"/>
        </w:tabs>
        <w:spacing w:before="60" w:after="60" w:line="360" w:lineRule="exact"/>
        <w:rPr>
          <w:bCs/>
          <w:szCs w:val="28"/>
          <w:lang w:val="nb-NO"/>
        </w:rPr>
      </w:pPr>
      <w:r>
        <w:rPr>
          <w:bCs/>
          <w:szCs w:val="28"/>
          <w:lang w:val="nb-NO"/>
        </w:rPr>
        <w:t>- Nội dung tồn tại, hạn chế, vướng mắc: quy định chưa phù hợp, điều kiện, tiêu chuẩn khó thực hiện; thiếu nguồn lực hoặc bố trí kinh phí chậm; chồng chéo so với quy định khác....</w:t>
      </w:r>
    </w:p>
    <w:p>
      <w:pPr>
        <w:tabs>
          <w:tab w:val="num" w:pos="720"/>
        </w:tabs>
        <w:spacing w:before="60" w:after="60" w:line="360" w:lineRule="exact"/>
        <w:rPr>
          <w:bCs/>
          <w:szCs w:val="28"/>
          <w:lang w:val="nb-NO"/>
        </w:rPr>
      </w:pPr>
      <w:r>
        <w:rPr>
          <w:bCs/>
          <w:szCs w:val="28"/>
          <w:lang w:val="nb-NO"/>
        </w:rPr>
        <w:t>- Đánh giá sự cần thiết ban hành chính sách trong giai đoạn mới.</w:t>
      </w:r>
    </w:p>
    <w:p>
      <w:pPr>
        <w:tabs>
          <w:tab w:val="num" w:pos="720"/>
        </w:tabs>
        <w:spacing w:before="60" w:after="60" w:line="360" w:lineRule="exact"/>
        <w:rPr>
          <w:b/>
          <w:szCs w:val="28"/>
          <w:lang w:val="nb-NO"/>
        </w:rPr>
      </w:pPr>
      <w:r>
        <w:rPr>
          <w:b/>
          <w:szCs w:val="28"/>
          <w:lang w:val="nb-NO"/>
        </w:rPr>
        <w:t>XI ĐÁNH GIÁ CHUNG</w:t>
      </w:r>
    </w:p>
    <w:p>
      <w:pPr>
        <w:tabs>
          <w:tab w:val="num" w:pos="720"/>
        </w:tabs>
        <w:spacing w:before="60" w:after="60" w:line="360" w:lineRule="exact"/>
        <w:rPr>
          <w:bCs/>
          <w:szCs w:val="28"/>
          <w:lang w:val="nb-NO"/>
        </w:rPr>
      </w:pPr>
      <w:r>
        <w:rPr>
          <w:bCs/>
          <w:szCs w:val="28"/>
          <w:lang w:val="nb-NO"/>
        </w:rPr>
        <w:t xml:space="preserve">1. Kết quả nổi bật. </w:t>
      </w:r>
    </w:p>
    <w:p>
      <w:pPr>
        <w:tabs>
          <w:tab w:val="num" w:pos="720"/>
        </w:tabs>
        <w:spacing w:before="60" w:after="60" w:line="360" w:lineRule="exact"/>
        <w:rPr>
          <w:bCs/>
          <w:szCs w:val="28"/>
          <w:lang w:val="nb-NO"/>
        </w:rPr>
      </w:pPr>
      <w:r>
        <w:rPr>
          <w:bCs/>
          <w:szCs w:val="28"/>
          <w:lang w:val="nb-NO"/>
        </w:rPr>
        <w:t xml:space="preserve">2. Những tồn tại, hạn chế, khó khăn, vướng mắc, trong đó phân loại: do quy định của Trung ương; do chính sách của tỉnh; trong tổ chức thực hiện; vướng mắc về tổ chức bộ máy; về nhân lực; về tài chính; về cơ sở vật chất, trang thiết bị; do phối hợp chưa hiệu quả. </w:t>
      </w:r>
    </w:p>
    <w:p>
      <w:pPr>
        <w:tabs>
          <w:tab w:val="num" w:pos="720"/>
        </w:tabs>
        <w:spacing w:before="60" w:after="60" w:line="360" w:lineRule="exact"/>
        <w:rPr>
          <w:bCs/>
          <w:szCs w:val="28"/>
          <w:lang w:val="nb-NO"/>
        </w:rPr>
      </w:pPr>
      <w:r>
        <w:rPr>
          <w:bCs/>
          <w:szCs w:val="28"/>
          <w:lang w:val="nb-NO"/>
        </w:rPr>
        <w:t>3. Nguyên nhân khách quan, chủ quan.</w:t>
      </w:r>
    </w:p>
    <w:p>
      <w:pPr>
        <w:tabs>
          <w:tab w:val="num" w:pos="720"/>
        </w:tabs>
        <w:spacing w:before="60" w:after="60" w:line="360" w:lineRule="exact"/>
        <w:rPr>
          <w:bCs/>
          <w:szCs w:val="28"/>
          <w:lang w:val="nb-NO"/>
        </w:rPr>
      </w:pPr>
      <w:r>
        <w:rPr>
          <w:bCs/>
          <w:szCs w:val="28"/>
          <w:lang w:val="nb-NO"/>
        </w:rPr>
        <w:t>4. Những vấn đề cần tập trung xử lý ngay trong năm 2026, năm 2027 và thời gian tới.</w:t>
      </w:r>
    </w:p>
    <w:p>
      <w:pPr>
        <w:tabs>
          <w:tab w:val="num" w:pos="720"/>
        </w:tabs>
        <w:spacing w:before="60" w:after="60" w:line="360" w:lineRule="exact"/>
        <w:rPr>
          <w:b/>
          <w:szCs w:val="28"/>
          <w:lang w:val="nb-NO"/>
        </w:rPr>
      </w:pPr>
      <w:r>
        <w:rPr>
          <w:b/>
          <w:szCs w:val="28"/>
          <w:lang w:val="nb-NO"/>
        </w:rPr>
        <w:t>XII. KIẾN NGHỊ, ĐỀ XUẤT VÀ ĐỊNH HƯỚNG GIAI ĐOẠN TỚI</w:t>
      </w:r>
    </w:p>
    <w:p>
      <w:pPr>
        <w:tabs>
          <w:tab w:val="num" w:pos="720"/>
        </w:tabs>
        <w:spacing w:before="60" w:after="60" w:line="360" w:lineRule="exact"/>
        <w:rPr>
          <w:bCs/>
          <w:szCs w:val="28"/>
          <w:lang w:val="nb-NO"/>
        </w:rPr>
      </w:pPr>
      <w:r>
        <w:rPr>
          <w:bCs/>
          <w:szCs w:val="28"/>
          <w:lang w:val="nb-NO"/>
        </w:rPr>
        <w:t xml:space="preserve">1. Kiến nghị đối với Quốc hội, Chính phủ, Bộ Y tế và các bộ, ngành Trung ương. </w:t>
      </w:r>
    </w:p>
    <w:p>
      <w:pPr>
        <w:tabs>
          <w:tab w:val="num" w:pos="720"/>
        </w:tabs>
        <w:spacing w:before="60" w:after="60" w:line="360" w:lineRule="exact"/>
        <w:rPr>
          <w:bCs/>
          <w:szCs w:val="28"/>
          <w:lang w:val="nb-NO"/>
        </w:rPr>
      </w:pPr>
      <w:r>
        <w:rPr>
          <w:bCs/>
          <w:szCs w:val="28"/>
          <w:lang w:val="nb-NO"/>
        </w:rPr>
        <w:t xml:space="preserve">2. Kiến nghị đối với Tỉnh ủy. </w:t>
      </w:r>
    </w:p>
    <w:p>
      <w:pPr>
        <w:tabs>
          <w:tab w:val="num" w:pos="720"/>
        </w:tabs>
        <w:spacing w:before="60" w:after="60" w:line="360" w:lineRule="exact"/>
        <w:rPr>
          <w:bCs/>
          <w:szCs w:val="28"/>
          <w:lang w:val="nb-NO"/>
        </w:rPr>
      </w:pPr>
      <w:r>
        <w:rPr>
          <w:bCs/>
          <w:szCs w:val="28"/>
          <w:lang w:val="nb-NO"/>
        </w:rPr>
        <w:t>3. Kiến nghị đối với Hội đồng nhân dân tỉnh.</w:t>
      </w:r>
    </w:p>
    <w:p>
      <w:pPr>
        <w:tabs>
          <w:tab w:val="num" w:pos="720"/>
        </w:tabs>
        <w:spacing w:before="60" w:after="60" w:line="360" w:lineRule="exact"/>
        <w:rPr>
          <w:bCs/>
          <w:szCs w:val="28"/>
          <w:lang w:val="nb-NO"/>
        </w:rPr>
      </w:pPr>
      <w:r>
        <w:rPr>
          <w:bCs/>
          <w:szCs w:val="28"/>
          <w:lang w:val="nb-NO"/>
        </w:rPr>
        <w:t xml:space="preserve">4. Kiến nghị đối với Ủy ban nhân dân tỉnh. </w:t>
      </w:r>
    </w:p>
    <w:p>
      <w:pPr>
        <w:widowControl w:val="0"/>
        <w:pBdr>
          <w:top w:val="dotted" w:sz="4" w:space="0" w:color="FFFFFF"/>
          <w:left w:val="dotted" w:sz="4" w:space="0" w:color="FFFFFF"/>
          <w:bottom w:val="dotted" w:sz="4" w:space="31" w:color="FFFFFF"/>
          <w:right w:val="dotted" w:sz="4" w:space="29" w:color="FFFFFF"/>
        </w:pBdr>
        <w:shd w:val="clear" w:color="auto" w:fill="FFFFFF"/>
        <w:spacing w:before="60" w:line="360" w:lineRule="exact"/>
        <w:ind w:firstLine="709"/>
        <w:rPr>
          <w:b/>
          <w:bCs/>
          <w:spacing w:val="-4"/>
          <w:sz w:val="26"/>
          <w:szCs w:val="26"/>
          <w:lang w:val="nb-NO"/>
        </w:rPr>
      </w:pPr>
    </w:p>
    <w:sectPr>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before="0"/>
      </w:pPr>
      <w:r>
        <w:separator/>
      </w:r>
    </w:p>
  </w:endnote>
  <w:endnote w:type="continuationSeparator" w:id="0">
    <w:p>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before="0"/>
      </w:pPr>
      <w:r>
        <w:separator/>
      </w:r>
    </w:p>
  </w:footnote>
  <w:footnote w:type="continuationSeparator" w:id="0">
    <w:p>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797892"/>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5C63FD-E924-4397-85AF-7F56D0BD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line="340" w:lineRule="exact"/>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pPr>
  </w:style>
  <w:style w:type="character" w:customStyle="1" w:styleId="FooterChar">
    <w:name w:val="Footer Char"/>
    <w:basedOn w:val="DefaultParagraphFont"/>
    <w:link w:val="Footer"/>
    <w:uiPriority w:val="99"/>
  </w:style>
  <w:style w:type="paragraph" w:styleId="Revision">
    <w:name w:val="Revision"/>
    <w:hidden/>
    <w:uiPriority w:val="99"/>
    <w:semiHidden/>
    <w:pPr>
      <w:spacing w:before="0"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2874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4366E-B41A-493E-BF3F-B1F30CE68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1000</Words>
  <Characters>5704</Characters>
  <Application>Microsoft Office Word</Application>
  <DocSecurity>0</DocSecurity>
  <Lines>47</Lines>
  <Paragraphs>13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HUAN</dc:creator>
  <cp:keywords/>
  <dc:description/>
  <cp:lastModifiedBy>QUANG HUAN</cp:lastModifiedBy>
  <cp:revision>11</cp:revision>
  <dcterms:created xsi:type="dcterms:W3CDTF">2026-08-05T00:48:00Z</dcterms:created>
  <dcterms:modified xsi:type="dcterms:W3CDTF">2026-08-11T08:21:00Z</dcterms:modified>
</cp:coreProperties>
</file>