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ind w:firstLine="0"/>
        <w:jc w:val="center"/>
        <w:rPr>
          <w:rFonts w:eastAsia="Times New Roman" w:cs="Times New Roman"/>
          <w:b/>
          <w:bCs/>
          <w:szCs w:val="28"/>
        </w:rPr>
      </w:pPr>
      <w:r>
        <w:rPr>
          <w:rFonts w:eastAsia="Times New Roman" w:cs="Times New Roman"/>
          <w:b/>
          <w:bCs/>
          <w:szCs w:val="28"/>
        </w:rPr>
        <w:t>ĐỀ CƯƠNG BÁO CÁO (của các Bệnh viện và Trung tâm y tế)</w:t>
      </w:r>
    </w:p>
    <w:p>
      <w:pPr>
        <w:ind w:firstLine="0"/>
        <w:jc w:val="center"/>
        <w:rPr>
          <w:rFonts w:eastAsia="Times New Roman" w:cs="Times New Roman"/>
          <w:b/>
          <w:bCs/>
          <w:szCs w:val="28"/>
        </w:rPr>
      </w:pPr>
    </w:p>
    <w:p>
      <w:pPr>
        <w:ind w:firstLine="0"/>
        <w:jc w:val="center"/>
        <w:rPr>
          <w:rFonts w:eastAsia="Times New Roman" w:cs="Times New Roman"/>
          <w:b/>
          <w:bCs/>
          <w:szCs w:val="28"/>
        </w:rPr>
      </w:pPr>
      <w:r>
        <w:rPr>
          <w:rFonts w:eastAsia="Times New Roman" w:cs="Times New Roman"/>
          <w:b/>
          <w:bCs/>
          <w:szCs w:val="28"/>
        </w:rPr>
        <w:t xml:space="preserve">Việc thực hiện chính sách, pháp luật về tổ chức và hoạt động </w:t>
      </w:r>
    </w:p>
    <w:p>
      <w:pPr>
        <w:ind w:firstLine="0"/>
        <w:jc w:val="center"/>
        <w:rPr>
          <w:rFonts w:eastAsia="Times New Roman" w:cs="Times New Roman"/>
          <w:b/>
          <w:bCs/>
          <w:szCs w:val="28"/>
        </w:rPr>
      </w:pPr>
      <w:r>
        <w:rPr>
          <w:rFonts w:eastAsia="Times New Roman" w:cs="Times New Roman"/>
          <w:b/>
          <w:bCs/>
          <w:szCs w:val="28"/>
        </w:rPr>
        <w:t>của hệ thống y tế trên địa bàn tỉnh</w:t>
      </w:r>
    </w:p>
    <w:p>
      <w:pPr>
        <w:tabs>
          <w:tab w:val="left" w:pos="851"/>
        </w:tabs>
        <w:ind w:firstLine="0"/>
        <w:jc w:val="center"/>
        <w:rPr>
          <w:i/>
          <w:iCs/>
        </w:rPr>
      </w:pPr>
      <w:r>
        <w:rPr>
          <w:i/>
          <w:iCs/>
        </w:rPr>
        <w:t>(ban hành kèm theo Quyết định số …../QĐ-HĐND ngày …./8/2026</w:t>
      </w:r>
    </w:p>
    <w:p>
      <w:pPr>
        <w:tabs>
          <w:tab w:val="left" w:pos="851"/>
        </w:tabs>
        <w:ind w:firstLine="0"/>
        <w:jc w:val="center"/>
        <w:rPr>
          <w:i/>
          <w:iCs/>
        </w:rPr>
      </w:pPr>
      <w:r>
        <w:rPr>
          <w:i/>
          <w:iCs/>
        </w:rPr>
        <w:t xml:space="preserve"> của Ban Văn hóa - Xã hội Hội đồng nhân dân tỉnh)</w:t>
      </w:r>
    </w:p>
    <w:p>
      <w:pPr>
        <w:rPr>
          <w:rFonts w:eastAsia="Times New Roman" w:cs="Times New Roman"/>
          <w:b/>
          <w:bCs/>
          <w:szCs w:val="28"/>
        </w:rPr>
      </w:pPr>
      <w:r>
        <w:rPr>
          <w:rFonts w:eastAsia="Times New Roman" w:cs="Times New Roman"/>
          <w:b/>
          <w:bCs/>
          <w:szCs w:val="28"/>
        </w:rPr>
        <w:t>I. ĐẶC ĐIỂM TÌNH HÌNH</w:t>
      </w:r>
    </w:p>
    <w:p>
      <w:pPr>
        <w:spacing w:after="120"/>
      </w:pPr>
      <w:r>
        <w:rPr>
          <w:rStyle w:val="Strong"/>
          <w:rFonts w:cs="Times New Roman"/>
        </w:rPr>
        <w:t>1. Đặc điểm tự nhiên:</w:t>
      </w:r>
      <w:r>
        <w:t xml:space="preserve"> </w:t>
      </w:r>
    </w:p>
    <w:p>
      <w:pPr>
        <w:spacing w:before="60" w:after="60"/>
        <w:contextualSpacing/>
      </w:pPr>
      <w:r>
        <w:t>Vị trí địa lý, quy mô dân số, địa bàn phục vụ công tác khám, chữa bệnh</w:t>
      </w:r>
    </w:p>
    <w:p>
      <w:pPr>
        <w:spacing w:after="120"/>
        <w:rPr>
          <w:b/>
          <w:bCs/>
        </w:rPr>
      </w:pPr>
      <w:r>
        <w:rPr>
          <w:b/>
          <w:bCs/>
        </w:rPr>
        <w:t>2. Thuận lợi, khó khăn trong khám bệnh, chữa bệnh và thực hiện các chính sách pháp luật trên lĩnh vực y tế.</w:t>
      </w:r>
    </w:p>
    <w:p>
      <w:pPr>
        <w:spacing w:before="60" w:after="60"/>
        <w:rPr>
          <w:rFonts w:eastAsia="Times New Roman" w:cs="Times New Roman"/>
          <w:spacing w:val="-4"/>
          <w:szCs w:val="28"/>
        </w:rPr>
      </w:pPr>
      <w:r>
        <w:rPr>
          <w:rFonts w:eastAsia="Times New Roman" w:cs="Times New Roman"/>
          <w:spacing w:val="-4"/>
          <w:szCs w:val="28"/>
        </w:rPr>
        <w:t>- Quy mô giường bệnh (kế hoạch giao và thực kê), nhân lực, địa bàn phục vụ.</w:t>
      </w:r>
    </w:p>
    <w:p>
      <w:pPr>
        <w:spacing w:before="60" w:after="60"/>
        <w:rPr>
          <w:rFonts w:eastAsia="Times New Roman" w:cs="Times New Roman"/>
          <w:spacing w:val="-4"/>
          <w:szCs w:val="28"/>
        </w:rPr>
      </w:pPr>
      <w:r>
        <w:rPr>
          <w:rFonts w:eastAsia="Times New Roman" w:cs="Times New Roman"/>
          <w:spacing w:val="-4"/>
          <w:szCs w:val="28"/>
        </w:rPr>
        <w:t>- Tác động của mô hình bệnh tật trên vùng địa bàn ảnh hưởng đến năng lực đáp ứng của đơn vị.</w:t>
      </w:r>
    </w:p>
    <w:p>
      <w:pPr>
        <w:spacing w:before="60" w:after="60"/>
        <w:rPr>
          <w:rFonts w:eastAsia="Times New Roman" w:cs="Times New Roman"/>
          <w:szCs w:val="28"/>
        </w:rPr>
      </w:pPr>
      <w:r>
        <w:rPr>
          <w:rFonts w:eastAsia="Times New Roman" w:cs="Times New Roman"/>
          <w:szCs w:val="28"/>
        </w:rPr>
        <w:t>- Phân tích ngắn gọn thuận lợi và khó khăn (đặc biệt là khó khăn về cơ chế, ngân sách…).</w:t>
      </w:r>
    </w:p>
    <w:p>
      <w:pPr>
        <w:rPr>
          <w:rFonts w:eastAsia="Times New Roman" w:cs="Times New Roman"/>
          <w:i/>
          <w:iCs/>
          <w:szCs w:val="28"/>
        </w:rPr>
      </w:pPr>
      <w:r>
        <w:rPr>
          <w:rFonts w:eastAsia="Times New Roman" w:cs="Times New Roman"/>
          <w:b/>
          <w:bCs/>
          <w:szCs w:val="28"/>
        </w:rPr>
        <w:t xml:space="preserve">II. KẾT QUẢ THỰC HIỆN CHÍNH SÁCH, PHÁP LUẬT Y TẾ </w:t>
      </w:r>
      <w:r>
        <w:rPr>
          <w:rFonts w:eastAsia="Times New Roman" w:cs="Times New Roman"/>
          <w:i/>
          <w:iCs/>
          <w:szCs w:val="28"/>
        </w:rPr>
        <w:t>(</w:t>
      </w:r>
      <w:r>
        <w:rPr>
          <w:rFonts w:eastAsia="Times New Roman" w:cs="Times New Roman"/>
          <w:b/>
          <w:bCs/>
          <w:i/>
          <w:iCs/>
          <w:szCs w:val="28"/>
        </w:rPr>
        <w:t>Mốc báo cáo: từ 01/01/2024 đến 30/6/2026</w:t>
      </w:r>
      <w:r>
        <w:rPr>
          <w:rFonts w:eastAsia="Times New Roman" w:cs="Times New Roman"/>
          <w:i/>
          <w:iCs/>
          <w:szCs w:val="28"/>
        </w:rPr>
        <w:t>)</w:t>
      </w:r>
    </w:p>
    <w:p>
      <w:pPr>
        <w:pStyle w:val="pdq2pgselectionanchorcontainer"/>
        <w:spacing w:before="120" w:beforeAutospacing="0" w:after="120" w:afterAutospacing="0" w:line="340" w:lineRule="exact"/>
        <w:ind w:firstLine="720"/>
        <w:jc w:val="both"/>
        <w:rPr>
          <w:b/>
          <w:bCs/>
          <w:sz w:val="28"/>
          <w:szCs w:val="28"/>
        </w:rPr>
      </w:pPr>
      <w:r>
        <w:rPr>
          <w:b/>
          <w:bCs/>
          <w:sz w:val="28"/>
          <w:szCs w:val="28"/>
        </w:rPr>
        <w:t>1. Tổ chức, biên chế</w:t>
      </w:r>
    </w:p>
    <w:p>
      <w:pPr>
        <w:pStyle w:val="NormalWeb"/>
        <w:spacing w:before="120" w:beforeAutospacing="0" w:after="120" w:afterAutospacing="0" w:line="340" w:lineRule="exact"/>
        <w:ind w:firstLine="720"/>
        <w:jc w:val="both"/>
        <w:rPr>
          <w:spacing w:val="-4"/>
          <w:sz w:val="28"/>
          <w:szCs w:val="28"/>
        </w:rPr>
      </w:pPr>
      <w:r>
        <w:rPr>
          <w:spacing w:val="-4"/>
          <w:sz w:val="28"/>
          <w:szCs w:val="28"/>
        </w:rPr>
        <w:t>Việc sắp xếp, kiện toàn cơ cấu tổ chức, biên chế, chức năng, nhiệm vụ của đơn vị; đánh giá tác động của việc sắp xếp đến chất lượng cung cấp và khả năng tiếp cận dịch vụ y tế của Nhân dân.</w:t>
      </w:r>
    </w:p>
    <w:p>
      <w:pPr>
        <w:pStyle w:val="NormalWeb"/>
        <w:spacing w:before="120" w:beforeAutospacing="0" w:after="120" w:afterAutospacing="0" w:line="340" w:lineRule="exact"/>
        <w:ind w:firstLine="720"/>
        <w:jc w:val="both"/>
        <w:rPr>
          <w:b/>
          <w:bCs/>
          <w:spacing w:val="-4"/>
          <w:sz w:val="28"/>
          <w:szCs w:val="28"/>
        </w:rPr>
      </w:pPr>
      <w:r>
        <w:rPr>
          <w:b/>
          <w:bCs/>
          <w:spacing w:val="-4"/>
          <w:sz w:val="28"/>
          <w:szCs w:val="28"/>
        </w:rPr>
        <w:t>2. Nguồn lực và điều kiện đảm bảo</w:t>
      </w:r>
    </w:p>
    <w:p>
      <w:pPr>
        <w:pStyle w:val="NormalWeb"/>
        <w:spacing w:before="120" w:beforeAutospacing="0" w:after="120" w:afterAutospacing="0" w:line="340" w:lineRule="exact"/>
        <w:ind w:firstLine="720"/>
        <w:jc w:val="both"/>
        <w:rPr>
          <w:sz w:val="28"/>
          <w:szCs w:val="28"/>
        </w:rPr>
      </w:pPr>
      <w:r>
        <w:rPr>
          <w:sz w:val="28"/>
          <w:szCs w:val="28"/>
        </w:rPr>
        <w:t>-  Thực trạng nguồn nhân lực y tế; việc tuyển dụng, sử dụng, đào tạo, bồi dưỡng, thu hút, ổn định đội ngũ bác sĩ, dược sĩ và nhân viên y tế; mức độ đáp ứng yêu cầu chuyên môn tại đơn vị.</w:t>
      </w:r>
    </w:p>
    <w:p>
      <w:pPr>
        <w:spacing w:before="60" w:after="60"/>
        <w:rPr>
          <w:rFonts w:eastAsia="Times New Roman" w:cs="Times New Roman"/>
          <w:szCs w:val="28"/>
        </w:rPr>
      </w:pPr>
      <w:r>
        <w:rPr>
          <w:rFonts w:eastAsia="Times New Roman" w:cs="Times New Roman"/>
          <w:szCs w:val="28"/>
        </w:rPr>
        <w:t>- Chế độ đãi ngộ: việc chi trả phụ cấp ưu đãi nghề, phụ cấp độc hại, phẫu thuật thủ thuật và các chế độ thu nhập tăng thêm theo quy chế chi tiêu nội bộ.</w:t>
      </w:r>
    </w:p>
    <w:p>
      <w:pPr>
        <w:pStyle w:val="NormalWeb"/>
        <w:spacing w:before="120" w:beforeAutospacing="0" w:after="120" w:afterAutospacing="0" w:line="340" w:lineRule="exact"/>
        <w:ind w:firstLine="720"/>
        <w:jc w:val="both"/>
        <w:rPr>
          <w:sz w:val="28"/>
          <w:szCs w:val="28"/>
        </w:rPr>
      </w:pPr>
      <w:r>
        <w:rPr>
          <w:sz w:val="28"/>
          <w:szCs w:val="28"/>
        </w:rPr>
        <w:t>- Thực trạng cơ sở vật chất, trang thiết bị y tế; việc đầu tư, mua sắm, quản lý, khai thác và sử dụng trang thiết bị; khả năng đáp ứng yêu cầu khám bệnh, chữa bệnh và chăm sóc sức khỏe Nhân dân.</w:t>
      </w:r>
    </w:p>
    <w:p>
      <w:pPr>
        <w:tabs>
          <w:tab w:val="num" w:pos="720"/>
        </w:tabs>
        <w:spacing w:before="60" w:after="60" w:line="360" w:lineRule="exact"/>
        <w:rPr>
          <w:szCs w:val="28"/>
        </w:rPr>
      </w:pPr>
      <w:r>
        <w:rPr>
          <w:szCs w:val="28"/>
        </w:rPr>
        <w:t>- Tình hình bảo đảm thuốc, hóa chất, sinh phẩm, vật tư y tế</w:t>
      </w:r>
    </w:p>
    <w:p>
      <w:pPr>
        <w:pStyle w:val="NormalWeb"/>
        <w:spacing w:before="120" w:beforeAutospacing="0" w:after="120" w:afterAutospacing="0" w:line="340" w:lineRule="exact"/>
        <w:ind w:firstLine="720"/>
        <w:jc w:val="both"/>
        <w:rPr>
          <w:b/>
          <w:bCs/>
          <w:sz w:val="28"/>
          <w:szCs w:val="28"/>
        </w:rPr>
      </w:pPr>
      <w:r>
        <w:rPr>
          <w:b/>
          <w:bCs/>
          <w:sz w:val="28"/>
          <w:szCs w:val="28"/>
        </w:rPr>
        <w:t>3. Hoạt động cung ứng dịch vụ y tế</w:t>
      </w:r>
    </w:p>
    <w:p>
      <w:pPr>
        <w:pStyle w:val="NormalWeb"/>
        <w:spacing w:before="120" w:beforeAutospacing="0" w:after="120" w:afterAutospacing="0" w:line="340" w:lineRule="exact"/>
        <w:ind w:firstLine="720"/>
        <w:jc w:val="both"/>
        <w:rPr>
          <w:sz w:val="28"/>
          <w:szCs w:val="28"/>
        </w:rPr>
      </w:pPr>
      <w:r>
        <w:rPr>
          <w:sz w:val="28"/>
          <w:szCs w:val="28"/>
        </w:rPr>
        <w:lastRenderedPageBreak/>
        <w:t>- Kết quả thực hiện công tác khám bệnh, chữa bệnh; chất lượng cung ứng dịch vụ y tế, khả năng tiếp cận dịch vụ y tế của Nhân dân và việc thực hiện các quy định của pháp luật về khám bệnh, chữa bệnh.</w:t>
      </w:r>
    </w:p>
    <w:p>
      <w:pPr>
        <w:pStyle w:val="NormalWeb"/>
        <w:spacing w:before="120" w:beforeAutospacing="0" w:after="120" w:afterAutospacing="0" w:line="340" w:lineRule="exact"/>
        <w:ind w:firstLine="720"/>
        <w:jc w:val="both"/>
        <w:rPr>
          <w:b/>
          <w:bCs/>
          <w:sz w:val="28"/>
          <w:szCs w:val="28"/>
        </w:rPr>
      </w:pPr>
      <w:r>
        <w:rPr>
          <w:b/>
          <w:bCs/>
          <w:sz w:val="28"/>
          <w:szCs w:val="28"/>
        </w:rPr>
        <w:t xml:space="preserve">4. Tài chính, tự chủ, ứng dụng công nghệ thông tin và chuyển đổi số </w:t>
      </w:r>
    </w:p>
    <w:p>
      <w:pPr>
        <w:spacing w:before="60" w:after="60"/>
        <w:rPr>
          <w:rFonts w:eastAsia="Times New Roman" w:cs="Times New Roman"/>
          <w:szCs w:val="28"/>
        </w:rPr>
      </w:pPr>
      <w:r>
        <w:rPr>
          <w:rFonts w:eastAsia="Times New Roman" w:cs="Times New Roman"/>
          <w:szCs w:val="28"/>
        </w:rPr>
        <w:t>- Thực hiện quyền tự chủ: đánh giá mức độ tự chủ tài chính được giao; thuận lợi và áp lực khi thực hiện tự chủ.</w:t>
      </w:r>
    </w:p>
    <w:p>
      <w:pPr>
        <w:spacing w:before="60" w:after="60"/>
        <w:rPr>
          <w:rFonts w:eastAsia="Times New Roman" w:cs="Times New Roman"/>
          <w:szCs w:val="28"/>
        </w:rPr>
      </w:pPr>
      <w:r>
        <w:rPr>
          <w:rFonts w:eastAsia="Times New Roman" w:cs="Times New Roman"/>
          <w:szCs w:val="28"/>
        </w:rPr>
        <w:t>- Quản lý giá dịch vụ: việc thực hiện niêm yết, thu đúng, thu đủ theo danh mục giá được cấp có thẩm quyền phê duyệt.</w:t>
      </w:r>
    </w:p>
    <w:p>
      <w:pPr>
        <w:pStyle w:val="NormalWeb"/>
        <w:spacing w:before="120" w:beforeAutospacing="0" w:after="120" w:afterAutospacing="0" w:line="340" w:lineRule="exact"/>
        <w:ind w:firstLine="720"/>
        <w:jc w:val="both"/>
        <w:rPr>
          <w:sz w:val="28"/>
          <w:szCs w:val="28"/>
        </w:rPr>
      </w:pPr>
      <w:r>
        <w:rPr>
          <w:sz w:val="28"/>
          <w:szCs w:val="28"/>
        </w:rPr>
        <w:t xml:space="preserve">- Công tác quản lý, sử dụng quỹ bảo hiểm y tế; việc thanh toán chi phí khám bệnh, chữa bệnh bảo hiểm y tế; </w:t>
      </w:r>
    </w:p>
    <w:p>
      <w:pPr>
        <w:pStyle w:val="NormalWeb"/>
        <w:spacing w:before="120" w:beforeAutospacing="0" w:after="120" w:afterAutospacing="0" w:line="340" w:lineRule="exact"/>
        <w:ind w:firstLine="720"/>
        <w:jc w:val="both"/>
        <w:rPr>
          <w:spacing w:val="-4"/>
          <w:sz w:val="28"/>
          <w:szCs w:val="28"/>
        </w:rPr>
      </w:pPr>
      <w:r>
        <w:rPr>
          <w:spacing w:val="-4"/>
          <w:sz w:val="28"/>
          <w:szCs w:val="28"/>
        </w:rPr>
        <w:t>- Kết quả thực hiện chuyển đổi số trong lĩnh vực y tế; xây dựng, quản lý và khai thác cơ sở dữ liệu y tế; triển khai hồ sơ sức khỏe điện tử, bệnh án điện tử và ứng dụng công nghệ thông tin trong quản lý, điều hành, khám bệnh, chữa bệnh.</w:t>
      </w:r>
    </w:p>
    <w:p>
      <w:pPr>
        <w:pStyle w:val="NormalWeb"/>
        <w:spacing w:before="120" w:beforeAutospacing="0" w:after="120" w:afterAutospacing="0" w:line="340" w:lineRule="exact"/>
        <w:ind w:firstLine="720"/>
        <w:jc w:val="both"/>
        <w:rPr>
          <w:b/>
          <w:bCs/>
          <w:sz w:val="28"/>
          <w:szCs w:val="28"/>
        </w:rPr>
      </w:pPr>
      <w:r>
        <w:rPr>
          <w:b/>
          <w:bCs/>
          <w:sz w:val="28"/>
          <w:szCs w:val="28"/>
        </w:rPr>
        <w:t>5. Kết quả thực hiện các nghị quyết, chính sách của Trung ương và của Hội đồng nhân dân tỉnh trong lĩnh vực y tế</w:t>
      </w:r>
    </w:p>
    <w:p>
      <w:pPr>
        <w:pStyle w:val="NormalWeb"/>
        <w:spacing w:before="120" w:beforeAutospacing="0" w:after="120" w:afterAutospacing="0" w:line="340" w:lineRule="exact"/>
        <w:ind w:firstLine="720"/>
        <w:jc w:val="both"/>
        <w:rPr>
          <w:sz w:val="28"/>
          <w:szCs w:val="28"/>
        </w:rPr>
      </w:pPr>
      <w:r>
        <w:rPr>
          <w:sz w:val="28"/>
          <w:szCs w:val="28"/>
        </w:rPr>
        <w:t>- Kết quả bước đầu thực hiện Nghị quyết số 72-NQ/TW ngày 09/9/2025 của Bộ Chính trị về một số giải pháp đột phá, tăng cường bảo vệ, chăm sóc và nâng cao sức khỏe cho nhân dân.</w:t>
      </w:r>
    </w:p>
    <w:p>
      <w:pPr>
        <w:pStyle w:val="NormalWeb"/>
        <w:spacing w:before="120" w:beforeAutospacing="0" w:after="120" w:afterAutospacing="0" w:line="340" w:lineRule="exact"/>
        <w:ind w:firstLine="720"/>
        <w:jc w:val="both"/>
        <w:rPr>
          <w:sz w:val="28"/>
          <w:szCs w:val="28"/>
        </w:rPr>
      </w:pPr>
      <w:r>
        <w:rPr>
          <w:sz w:val="28"/>
          <w:szCs w:val="28"/>
        </w:rPr>
        <w:t>- Kết quả thực hiện Nghị quyết số 181/2025/NQ-HĐND ngày 10/12/2025 của Hội đồng nhân dân tỉnh quy định chính sách hỗ trợ người thuộc hộ nghèo, hộ cận nghèo, người bệnh tâm thần, người nhiễm HIV/AIDS và một số đối tượng khó khăn khi khám bệnh, chữa bệnh tại các cơ sở y tế.</w:t>
      </w:r>
    </w:p>
    <w:p>
      <w:pPr>
        <w:pStyle w:val="NormalWeb"/>
        <w:spacing w:before="120" w:beforeAutospacing="0" w:after="120" w:afterAutospacing="0" w:line="340" w:lineRule="exact"/>
        <w:ind w:firstLine="720"/>
        <w:jc w:val="both"/>
        <w:rPr>
          <w:sz w:val="28"/>
          <w:szCs w:val="28"/>
        </w:rPr>
      </w:pPr>
      <w:r>
        <w:rPr>
          <w:sz w:val="28"/>
          <w:szCs w:val="28"/>
        </w:rPr>
        <w:t>- Kết quả triển khai Kế hoạch số 417/KH-UBND ngày 23/6/2026 của Ủy ban nhân dân tỉnh về triển khai khám sức khỏe định kỳ hoặc khám sàng lọc miễn phí cho người dân trên địa bàn tỉnh; tiến độ thực hiện, tỷ lệ người dân được khám, chất lượng khám, nguồn lực thực hiện, việc cập nhật dữ liệu vào hồ sơ sức khỏe điện tử và những khó khăn, vướng mắc (số liệu đến thời điểm báo cáo).</w:t>
      </w:r>
    </w:p>
    <w:p>
      <w:pPr>
        <w:pStyle w:val="NormalWeb"/>
        <w:spacing w:before="120" w:beforeAutospacing="0" w:after="120" w:afterAutospacing="0" w:line="340" w:lineRule="exact"/>
        <w:ind w:firstLine="720"/>
        <w:jc w:val="both"/>
        <w:rPr>
          <w:sz w:val="28"/>
          <w:szCs w:val="28"/>
          <w:lang w:val="bin-NG"/>
        </w:rPr>
      </w:pPr>
      <w:r>
        <w:rPr>
          <w:sz w:val="28"/>
          <w:szCs w:val="28"/>
          <w:lang w:val="bin-NG"/>
        </w:rPr>
        <w:t xml:space="preserve">- Kết quả thực hiện Nghị quyết số 71/2022/NQ-HĐND của Hội đồng nhân dân tỉnh về </w:t>
      </w:r>
      <w:r>
        <w:rPr>
          <w:sz w:val="28"/>
          <w:szCs w:val="28"/>
        </w:rPr>
        <w:t>m</w:t>
      </w:r>
      <w:r>
        <w:rPr>
          <w:sz w:val="28"/>
          <w:szCs w:val="28"/>
          <w:lang w:val="bin-NG"/>
        </w:rPr>
        <w:t>ột số cơ chế, chính sách đối với lĩnh vực Y tế công lập trên địa bàn tỉnh Hà Tĩnh, giai đoạn 2022-2025.</w:t>
      </w:r>
    </w:p>
    <w:p>
      <w:pPr>
        <w:rPr>
          <w:rFonts w:eastAsia="Times New Roman" w:cs="Times New Roman"/>
          <w:b/>
          <w:bCs/>
          <w:szCs w:val="28"/>
          <w:lang w:val="bin-NG"/>
        </w:rPr>
      </w:pPr>
      <w:r>
        <w:rPr>
          <w:rFonts w:eastAsia="Times New Roman" w:cs="Times New Roman"/>
          <w:b/>
          <w:bCs/>
          <w:szCs w:val="28"/>
          <w:lang w:val="bin-NG"/>
        </w:rPr>
        <w:t>III. ĐÁNH GIÁ CHUNG</w:t>
      </w:r>
    </w:p>
    <w:p>
      <w:pPr>
        <w:spacing w:after="120"/>
        <w:rPr>
          <w:rFonts w:eastAsia="Times New Roman" w:cs="Times New Roman"/>
          <w:b/>
          <w:bCs/>
          <w:szCs w:val="28"/>
          <w:lang w:val="bin-NG"/>
        </w:rPr>
      </w:pPr>
      <w:r>
        <w:rPr>
          <w:rFonts w:eastAsia="Times New Roman" w:cs="Times New Roman"/>
          <w:b/>
          <w:bCs/>
          <w:szCs w:val="28"/>
          <w:lang w:val="bin-NG"/>
        </w:rPr>
        <w:t>1. Kết quả đạt được</w:t>
      </w:r>
    </w:p>
    <w:p>
      <w:pPr>
        <w:spacing w:before="0"/>
        <w:rPr>
          <w:rFonts w:eastAsia="Times New Roman" w:cs="Times New Roman"/>
          <w:spacing w:val="-4"/>
          <w:szCs w:val="28"/>
          <w:lang w:val="bin-NG"/>
        </w:rPr>
      </w:pPr>
      <w:r>
        <w:rPr>
          <w:rFonts w:eastAsia="Times New Roman" w:cs="Times New Roman"/>
          <w:spacing w:val="-4"/>
          <w:szCs w:val="28"/>
          <w:lang w:val="bin-NG"/>
        </w:rPr>
        <w:t>Những chuyển biến tích cực nhất sau khi triển khai các chính sách pháp luật.</w:t>
      </w:r>
    </w:p>
    <w:p>
      <w:pPr>
        <w:spacing w:after="120"/>
        <w:rPr>
          <w:rFonts w:eastAsia="Times New Roman" w:cs="Times New Roman"/>
          <w:b/>
          <w:bCs/>
          <w:szCs w:val="28"/>
          <w:lang w:val="bin-NG"/>
        </w:rPr>
      </w:pPr>
      <w:r>
        <w:rPr>
          <w:rFonts w:eastAsia="Times New Roman" w:cs="Times New Roman"/>
          <w:b/>
          <w:bCs/>
          <w:szCs w:val="28"/>
          <w:lang w:val="bin-NG"/>
        </w:rPr>
        <w:t>2. Tồn tại, hạn chế và nguyên nhân</w:t>
      </w:r>
    </w:p>
    <w:p>
      <w:pPr>
        <w:pStyle w:val="ListParagraph"/>
        <w:numPr>
          <w:ilvl w:val="0"/>
          <w:numId w:val="15"/>
        </w:numPr>
        <w:spacing w:after="120"/>
        <w:ind w:left="1077" w:hanging="357"/>
        <w:rPr>
          <w:rFonts w:eastAsia="Times New Roman" w:cs="Times New Roman"/>
          <w:b/>
          <w:bCs/>
          <w:szCs w:val="28"/>
        </w:rPr>
      </w:pPr>
      <w:r>
        <w:rPr>
          <w:rFonts w:eastAsia="Times New Roman" w:cs="Times New Roman"/>
          <w:b/>
          <w:bCs/>
          <w:szCs w:val="28"/>
        </w:rPr>
        <w:t>Nguyên nhân</w:t>
      </w:r>
    </w:p>
    <w:p>
      <w:pPr>
        <w:spacing w:after="120"/>
        <w:rPr>
          <w:rFonts w:eastAsia="Times New Roman" w:cs="Times New Roman"/>
          <w:b/>
          <w:bCs/>
          <w:szCs w:val="28"/>
        </w:rPr>
      </w:pPr>
    </w:p>
    <w:p>
      <w:pPr>
        <w:spacing w:after="120"/>
        <w:rPr>
          <w:rFonts w:eastAsia="Times New Roman" w:cs="Times New Roman"/>
          <w:b/>
          <w:bCs/>
          <w:szCs w:val="28"/>
        </w:rPr>
      </w:pPr>
      <w:r>
        <w:rPr>
          <w:rFonts w:eastAsia="Times New Roman" w:cs="Times New Roman"/>
          <w:b/>
          <w:bCs/>
          <w:szCs w:val="28"/>
        </w:rPr>
        <w:lastRenderedPageBreak/>
        <w:t>IV. KIẾN NGHỊ VÀ ĐỀ XUẤT</w:t>
      </w:r>
    </w:p>
    <w:p>
      <w:pPr>
        <w:spacing w:before="0"/>
        <w:rPr>
          <w:rFonts w:eastAsia="Times New Roman" w:cs="Times New Roman"/>
          <w:szCs w:val="28"/>
        </w:rPr>
      </w:pPr>
      <w:r>
        <w:rPr>
          <w:rFonts w:eastAsia="Times New Roman" w:cs="Times New Roman"/>
          <w:szCs w:val="28"/>
        </w:rPr>
        <w:t>1. Với Quốc hội, Chính phủ, Bộ Y tế.</w:t>
      </w:r>
    </w:p>
    <w:p>
      <w:pPr>
        <w:spacing w:before="0"/>
        <w:rPr>
          <w:rFonts w:eastAsia="Times New Roman" w:cs="Times New Roman"/>
          <w:szCs w:val="28"/>
        </w:rPr>
      </w:pPr>
      <w:r>
        <w:rPr>
          <w:rFonts w:eastAsia="Times New Roman" w:cs="Times New Roman"/>
          <w:szCs w:val="28"/>
        </w:rPr>
        <w:t>2. Với Tỉnh ủy, Hội đồng nhân dân, Ủy ban nhân dân tỉnh.</w:t>
      </w:r>
    </w:p>
    <w:p>
      <w:pPr>
        <w:spacing w:before="0"/>
        <w:rPr>
          <w:rFonts w:eastAsia="Times New Roman" w:cs="Times New Roman"/>
          <w:szCs w:val="28"/>
        </w:rPr>
      </w:pPr>
      <w:r>
        <w:rPr>
          <w:rFonts w:eastAsia="Times New Roman" w:cs="Times New Roman"/>
          <w:szCs w:val="28"/>
        </w:rPr>
        <w:t>3. Với Sở Y tế và các sở, ban, ngành cấp tỉnh.</w:t>
      </w:r>
    </w:p>
    <w:p>
      <w:pPr>
        <w:rPr>
          <w:rFonts w:cs="Times New Roman"/>
          <w:szCs w:val="28"/>
        </w:rPr>
      </w:pPr>
    </w:p>
    <w:sectPr>
      <w:headerReference w:type="default" r:id="rId8"/>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spacing w:before="0"/>
      </w:pPr>
      <w:r>
        <w:separator/>
      </w:r>
    </w:p>
  </w:endnote>
  <w:endnote w:type="continuationSeparator" w:id="0">
    <w:p>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pPr>
        <w:spacing w:before="0"/>
      </w:pPr>
      <w:r>
        <w:separator/>
      </w:r>
    </w:p>
  </w:footnote>
  <w:footnote w:type="continuationSeparator" w:id="0">
    <w:p>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0893143"/>
      <w:docPartObj>
        <w:docPartGallery w:val="Page Numbers (Top of Page)"/>
        <w:docPartUnique/>
      </w:docPartObj>
    </w:sdtPr>
    <w:sdtEndPr>
      <w:rPr>
        <w:noProof/>
      </w:rPr>
    </w:sdtEndPr>
    <w:sdtContent>
      <w:p>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C2255"/>
    <w:multiLevelType w:val="multilevel"/>
    <w:tmpl w:val="BD9ED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ED1CE4"/>
    <w:multiLevelType w:val="multilevel"/>
    <w:tmpl w:val="166CAD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835539"/>
    <w:multiLevelType w:val="hybridMultilevel"/>
    <w:tmpl w:val="879CF1A0"/>
    <w:lvl w:ilvl="0" w:tplc="4596F130">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9134E80"/>
    <w:multiLevelType w:val="hybridMultilevel"/>
    <w:tmpl w:val="3CE201F4"/>
    <w:lvl w:ilvl="0" w:tplc="34B2EAF4">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A864D22"/>
    <w:multiLevelType w:val="multilevel"/>
    <w:tmpl w:val="95985E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08323D"/>
    <w:multiLevelType w:val="multilevel"/>
    <w:tmpl w:val="14265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09407B"/>
    <w:multiLevelType w:val="multilevel"/>
    <w:tmpl w:val="E1287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797A4E"/>
    <w:multiLevelType w:val="hybridMultilevel"/>
    <w:tmpl w:val="22DE01B4"/>
    <w:lvl w:ilvl="0" w:tplc="D5803D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41526D8"/>
    <w:multiLevelType w:val="multilevel"/>
    <w:tmpl w:val="AA228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6167DAA"/>
    <w:multiLevelType w:val="multilevel"/>
    <w:tmpl w:val="57A82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586780"/>
    <w:multiLevelType w:val="multilevel"/>
    <w:tmpl w:val="A7E22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1A6158D"/>
    <w:multiLevelType w:val="multilevel"/>
    <w:tmpl w:val="FB741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8F27D01"/>
    <w:multiLevelType w:val="multilevel"/>
    <w:tmpl w:val="A2B6A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D1E0069"/>
    <w:multiLevelType w:val="multilevel"/>
    <w:tmpl w:val="F98AC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E5E219D"/>
    <w:multiLevelType w:val="multilevel"/>
    <w:tmpl w:val="8A684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6"/>
  </w:num>
  <w:num w:numId="3">
    <w:abstractNumId w:val="9"/>
  </w:num>
  <w:num w:numId="4">
    <w:abstractNumId w:val="8"/>
  </w:num>
  <w:num w:numId="5">
    <w:abstractNumId w:val="12"/>
  </w:num>
  <w:num w:numId="6">
    <w:abstractNumId w:val="13"/>
  </w:num>
  <w:num w:numId="7">
    <w:abstractNumId w:val="5"/>
  </w:num>
  <w:num w:numId="8">
    <w:abstractNumId w:val="10"/>
  </w:num>
  <w:num w:numId="9">
    <w:abstractNumId w:val="0"/>
  </w:num>
  <w:num w:numId="10">
    <w:abstractNumId w:val="11"/>
  </w:num>
  <w:num w:numId="11">
    <w:abstractNumId w:val="14"/>
  </w:num>
  <w:num w:numId="12">
    <w:abstractNumId w:val="4"/>
  </w:num>
  <w:num w:numId="13">
    <w:abstractNumId w:val="2"/>
  </w:num>
  <w:num w:numId="14">
    <w:abstractNumId w:val="7"/>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markup="0" w:inkAnnotations="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B97BFD8-42A3-4F8B-8B57-B398B4B74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before="120" w:line="340" w:lineRule="exact"/>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Strong">
    <w:name w:val="Strong"/>
    <w:basedOn w:val="DefaultParagraphFont"/>
    <w:uiPriority w:val="22"/>
    <w:qFormat/>
    <w:rPr>
      <w:b/>
      <w:bCs/>
    </w:rPr>
  </w:style>
  <w:style w:type="paragraph" w:styleId="Header">
    <w:name w:val="header"/>
    <w:basedOn w:val="Normal"/>
    <w:link w:val="HeaderChar"/>
    <w:uiPriority w:val="99"/>
    <w:unhideWhenUsed/>
    <w:pPr>
      <w:tabs>
        <w:tab w:val="center" w:pos="4680"/>
        <w:tab w:val="right" w:pos="9360"/>
      </w:tabs>
      <w:spacing w:before="0"/>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before="0"/>
    </w:pPr>
  </w:style>
  <w:style w:type="character" w:customStyle="1" w:styleId="FooterChar">
    <w:name w:val="Footer Char"/>
    <w:basedOn w:val="DefaultParagraphFont"/>
    <w:link w:val="Footer"/>
    <w:uiPriority w:val="99"/>
  </w:style>
  <w:style w:type="paragraph" w:styleId="NormalWeb">
    <w:name w:val="Normal (Web)"/>
    <w:basedOn w:val="Normal"/>
    <w:uiPriority w:val="99"/>
    <w:unhideWhenUsed/>
    <w:pPr>
      <w:spacing w:before="100" w:beforeAutospacing="1" w:after="100" w:afterAutospacing="1"/>
      <w:ind w:firstLine="0"/>
      <w:jc w:val="left"/>
    </w:pPr>
    <w:rPr>
      <w:rFonts w:eastAsia="Times New Roman" w:cs="Times New Roman"/>
      <w:sz w:val="24"/>
      <w:szCs w:val="24"/>
    </w:rPr>
  </w:style>
  <w:style w:type="paragraph" w:customStyle="1" w:styleId="pdq2pgselectionanchorcontainer">
    <w:name w:val="pdq2pg_selectionanchorcontainer"/>
    <w:basedOn w:val="Normal"/>
    <w:pPr>
      <w:spacing w:before="100" w:beforeAutospacing="1" w:after="100" w:afterAutospacing="1"/>
      <w:ind w:firstLine="0"/>
      <w:jc w:val="left"/>
    </w:pPr>
    <w:rPr>
      <w:rFonts w:eastAsia="Times New Roman" w:cs="Times New Roman"/>
      <w:sz w:val="24"/>
      <w:szCs w:val="24"/>
    </w:rPr>
  </w:style>
  <w:style w:type="paragraph" w:styleId="Revision">
    <w:name w:val="Revision"/>
    <w:hidden/>
    <w:uiPriority w:val="99"/>
    <w:semiHidden/>
    <w:pPr>
      <w:spacing w:before="0" w:line="240" w:lineRule="auto"/>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974521">
      <w:bodyDiv w:val="1"/>
      <w:marLeft w:val="0"/>
      <w:marRight w:val="0"/>
      <w:marTop w:val="0"/>
      <w:marBottom w:val="0"/>
      <w:divBdr>
        <w:top w:val="none" w:sz="0" w:space="0" w:color="auto"/>
        <w:left w:val="none" w:sz="0" w:space="0" w:color="auto"/>
        <w:bottom w:val="none" w:sz="0" w:space="0" w:color="auto"/>
        <w:right w:val="none" w:sz="0" w:space="0" w:color="auto"/>
      </w:divBdr>
      <w:divsChild>
        <w:div w:id="1937592245">
          <w:marLeft w:val="0"/>
          <w:marRight w:val="0"/>
          <w:marTop w:val="360"/>
          <w:marBottom w:val="180"/>
          <w:divBdr>
            <w:top w:val="none" w:sz="0" w:space="0" w:color="auto"/>
            <w:left w:val="none" w:sz="0" w:space="0" w:color="auto"/>
            <w:bottom w:val="none" w:sz="0" w:space="0" w:color="auto"/>
            <w:right w:val="none" w:sz="0" w:space="0" w:color="auto"/>
          </w:divBdr>
        </w:div>
        <w:div w:id="1783261787">
          <w:marLeft w:val="0"/>
          <w:marRight w:val="0"/>
          <w:marTop w:val="180"/>
          <w:marBottom w:val="240"/>
          <w:divBdr>
            <w:top w:val="none" w:sz="0" w:space="0" w:color="auto"/>
            <w:left w:val="none" w:sz="0" w:space="0" w:color="auto"/>
            <w:bottom w:val="none" w:sz="0" w:space="0" w:color="auto"/>
            <w:right w:val="none" w:sz="0" w:space="0" w:color="auto"/>
          </w:divBdr>
        </w:div>
        <w:div w:id="1436048971">
          <w:marLeft w:val="0"/>
          <w:marRight w:val="0"/>
          <w:marTop w:val="360"/>
          <w:marBottom w:val="180"/>
          <w:divBdr>
            <w:top w:val="none" w:sz="0" w:space="0" w:color="auto"/>
            <w:left w:val="none" w:sz="0" w:space="0" w:color="auto"/>
            <w:bottom w:val="none" w:sz="0" w:space="0" w:color="auto"/>
            <w:right w:val="none" w:sz="0" w:space="0" w:color="auto"/>
          </w:divBdr>
        </w:div>
        <w:div w:id="1241479943">
          <w:marLeft w:val="0"/>
          <w:marRight w:val="0"/>
          <w:marTop w:val="360"/>
          <w:marBottom w:val="180"/>
          <w:divBdr>
            <w:top w:val="none" w:sz="0" w:space="0" w:color="auto"/>
            <w:left w:val="none" w:sz="0" w:space="0" w:color="auto"/>
            <w:bottom w:val="none" w:sz="0" w:space="0" w:color="auto"/>
            <w:right w:val="none" w:sz="0" w:space="0" w:color="auto"/>
          </w:divBdr>
        </w:div>
        <w:div w:id="1559124115">
          <w:marLeft w:val="0"/>
          <w:marRight w:val="0"/>
          <w:marTop w:val="360"/>
          <w:marBottom w:val="180"/>
          <w:divBdr>
            <w:top w:val="none" w:sz="0" w:space="0" w:color="auto"/>
            <w:left w:val="none" w:sz="0" w:space="0" w:color="auto"/>
            <w:bottom w:val="none" w:sz="0" w:space="0" w:color="auto"/>
            <w:right w:val="none" w:sz="0" w:space="0" w:color="auto"/>
          </w:divBdr>
        </w:div>
        <w:div w:id="2146239820">
          <w:marLeft w:val="0"/>
          <w:marRight w:val="0"/>
          <w:marTop w:val="360"/>
          <w:marBottom w:val="180"/>
          <w:divBdr>
            <w:top w:val="none" w:sz="0" w:space="0" w:color="auto"/>
            <w:left w:val="none" w:sz="0" w:space="0" w:color="auto"/>
            <w:bottom w:val="none" w:sz="0" w:space="0" w:color="auto"/>
            <w:right w:val="none" w:sz="0" w:space="0" w:color="auto"/>
          </w:divBdr>
        </w:div>
        <w:div w:id="205723428">
          <w:marLeft w:val="0"/>
          <w:marRight w:val="0"/>
          <w:marTop w:val="360"/>
          <w:marBottom w:val="180"/>
          <w:divBdr>
            <w:top w:val="none" w:sz="0" w:space="0" w:color="auto"/>
            <w:left w:val="none" w:sz="0" w:space="0" w:color="auto"/>
            <w:bottom w:val="none" w:sz="0" w:space="0" w:color="auto"/>
            <w:right w:val="none" w:sz="0" w:space="0" w:color="auto"/>
          </w:divBdr>
        </w:div>
        <w:div w:id="653605504">
          <w:marLeft w:val="0"/>
          <w:marRight w:val="0"/>
          <w:marTop w:val="360"/>
          <w:marBottom w:val="180"/>
          <w:divBdr>
            <w:top w:val="none" w:sz="0" w:space="0" w:color="auto"/>
            <w:left w:val="none" w:sz="0" w:space="0" w:color="auto"/>
            <w:bottom w:val="none" w:sz="0" w:space="0" w:color="auto"/>
            <w:right w:val="none" w:sz="0" w:space="0" w:color="auto"/>
          </w:divBdr>
        </w:div>
        <w:div w:id="1187906693">
          <w:marLeft w:val="0"/>
          <w:marRight w:val="0"/>
          <w:marTop w:val="360"/>
          <w:marBottom w:val="180"/>
          <w:divBdr>
            <w:top w:val="none" w:sz="0" w:space="0" w:color="auto"/>
            <w:left w:val="none" w:sz="0" w:space="0" w:color="auto"/>
            <w:bottom w:val="none" w:sz="0" w:space="0" w:color="auto"/>
            <w:right w:val="none" w:sz="0" w:space="0" w:color="auto"/>
          </w:divBdr>
        </w:div>
        <w:div w:id="244725264">
          <w:marLeft w:val="0"/>
          <w:marRight w:val="0"/>
          <w:marTop w:val="360"/>
          <w:marBottom w:val="180"/>
          <w:divBdr>
            <w:top w:val="none" w:sz="0" w:space="0" w:color="auto"/>
            <w:left w:val="none" w:sz="0" w:space="0" w:color="auto"/>
            <w:bottom w:val="none" w:sz="0" w:space="0" w:color="auto"/>
            <w:right w:val="none" w:sz="0" w:space="0" w:color="auto"/>
          </w:divBdr>
        </w:div>
        <w:div w:id="1241717980">
          <w:marLeft w:val="0"/>
          <w:marRight w:val="0"/>
          <w:marTop w:val="360"/>
          <w:marBottom w:val="180"/>
          <w:divBdr>
            <w:top w:val="none" w:sz="0" w:space="0" w:color="auto"/>
            <w:left w:val="none" w:sz="0" w:space="0" w:color="auto"/>
            <w:bottom w:val="none" w:sz="0" w:space="0" w:color="auto"/>
            <w:right w:val="none" w:sz="0" w:space="0" w:color="auto"/>
          </w:divBdr>
        </w:div>
        <w:div w:id="612909118">
          <w:marLeft w:val="0"/>
          <w:marRight w:val="0"/>
          <w:marTop w:val="360"/>
          <w:marBottom w:val="180"/>
          <w:divBdr>
            <w:top w:val="none" w:sz="0" w:space="0" w:color="auto"/>
            <w:left w:val="none" w:sz="0" w:space="0" w:color="auto"/>
            <w:bottom w:val="none" w:sz="0" w:space="0" w:color="auto"/>
            <w:right w:val="none" w:sz="0" w:space="0" w:color="auto"/>
          </w:divBdr>
        </w:div>
        <w:div w:id="529270104">
          <w:marLeft w:val="0"/>
          <w:marRight w:val="0"/>
          <w:marTop w:val="360"/>
          <w:marBottom w:val="180"/>
          <w:divBdr>
            <w:top w:val="none" w:sz="0" w:space="0" w:color="auto"/>
            <w:left w:val="none" w:sz="0" w:space="0" w:color="auto"/>
            <w:bottom w:val="none" w:sz="0" w:space="0" w:color="auto"/>
            <w:right w:val="none" w:sz="0" w:space="0" w:color="auto"/>
          </w:divBdr>
        </w:div>
        <w:div w:id="1151605010">
          <w:marLeft w:val="0"/>
          <w:marRight w:val="0"/>
          <w:marTop w:val="360"/>
          <w:marBottom w:val="180"/>
          <w:divBdr>
            <w:top w:val="none" w:sz="0" w:space="0" w:color="auto"/>
            <w:left w:val="none" w:sz="0" w:space="0" w:color="auto"/>
            <w:bottom w:val="none" w:sz="0" w:space="0" w:color="auto"/>
            <w:right w:val="none" w:sz="0" w:space="0" w:color="auto"/>
          </w:divBdr>
        </w:div>
        <w:div w:id="1996490862">
          <w:marLeft w:val="0"/>
          <w:marRight w:val="0"/>
          <w:marTop w:val="360"/>
          <w:marBottom w:val="180"/>
          <w:divBdr>
            <w:top w:val="none" w:sz="0" w:space="0" w:color="auto"/>
            <w:left w:val="none" w:sz="0" w:space="0" w:color="auto"/>
            <w:bottom w:val="none" w:sz="0" w:space="0" w:color="auto"/>
            <w:right w:val="none" w:sz="0" w:space="0" w:color="auto"/>
          </w:divBdr>
        </w:div>
        <w:div w:id="1916166885">
          <w:marLeft w:val="0"/>
          <w:marRight w:val="0"/>
          <w:marTop w:val="360"/>
          <w:marBottom w:val="18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99E7FB-04EF-4F98-9368-E5AD71809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Pages>
  <Words>598</Words>
  <Characters>3412</Characters>
  <Application>Microsoft Office Word</Application>
  <DocSecurity>0</DocSecurity>
  <Lines>28</Lines>
  <Paragraphs>8</Paragraphs>
  <ScaleCrop>false</ScaleCrop>
  <Company/>
  <LinksUpToDate>false</LinksUpToDate>
  <CharactersWithSpaces>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QUANG HUAN</dc:creator>
  <cp:keywords/>
  <dc:description/>
  <cp:lastModifiedBy>QUANG HUAN</cp:lastModifiedBy>
  <cp:revision>12</cp:revision>
  <dcterms:created xsi:type="dcterms:W3CDTF">2026-08-07T07:36:00Z</dcterms:created>
  <dcterms:modified xsi:type="dcterms:W3CDTF">2026-08-11T08:22:00Z</dcterms:modified>
</cp:coreProperties>
</file>