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70" w:type="dxa"/>
        <w:tblInd w:w="-709" w:type="dxa"/>
        <w:tblLayout w:type="fixed"/>
        <w:tblLook w:val="0000" w:firstRow="0" w:lastRow="0" w:firstColumn="0" w:lastColumn="0" w:noHBand="0" w:noVBand="0"/>
      </w:tblPr>
      <w:tblGrid>
        <w:gridCol w:w="3692"/>
        <w:gridCol w:w="6378"/>
      </w:tblGrid>
      <w:tr w:rsidR="00844820" w:rsidRPr="00844820" w14:paraId="1B946FD8" w14:textId="77777777" w:rsidTr="001C5672">
        <w:tc>
          <w:tcPr>
            <w:tcW w:w="3692" w:type="dxa"/>
          </w:tcPr>
          <w:p w14:paraId="0F1C6027" w14:textId="30D34F69" w:rsidR="00564E8C" w:rsidRPr="00844820" w:rsidRDefault="00564E8C" w:rsidP="001C5672">
            <w:pPr>
              <w:widowControl w:val="0"/>
              <w:pBdr>
                <w:top w:val="nil"/>
                <w:left w:val="nil"/>
                <w:bottom w:val="nil"/>
                <w:right w:val="nil"/>
                <w:between w:val="nil"/>
              </w:pBdr>
              <w:spacing w:before="120" w:after="120" w:line="264" w:lineRule="auto"/>
              <w:ind w:firstLine="0"/>
              <w:jc w:val="center"/>
              <w:rPr>
                <w:sz w:val="28"/>
                <w:szCs w:val="28"/>
                <w:vertAlign w:val="superscript"/>
              </w:rPr>
            </w:pPr>
            <w:bookmarkStart w:id="0" w:name="_GoBack"/>
            <w:bookmarkEnd w:id="0"/>
            <w:r w:rsidRPr="00844820">
              <w:rPr>
                <w:b/>
                <w:sz w:val="28"/>
                <w:szCs w:val="28"/>
              </w:rPr>
              <w:t>BỘ CÔNG THƯƠNG</w:t>
            </w:r>
          </w:p>
          <w:p w14:paraId="0DB313E0" w14:textId="30F278D4" w:rsidR="0022242E" w:rsidRPr="00844820" w:rsidRDefault="00F510B7" w:rsidP="001C5672">
            <w:pPr>
              <w:widowControl w:val="0"/>
              <w:pBdr>
                <w:top w:val="nil"/>
                <w:left w:val="nil"/>
                <w:bottom w:val="nil"/>
                <w:right w:val="nil"/>
                <w:between w:val="nil"/>
              </w:pBdr>
              <w:spacing w:before="120" w:after="120" w:line="264" w:lineRule="auto"/>
              <w:ind w:firstLine="0"/>
              <w:jc w:val="center"/>
              <w:rPr>
                <w:sz w:val="28"/>
                <w:szCs w:val="28"/>
                <w:vertAlign w:val="superscript"/>
              </w:rPr>
            </w:pPr>
            <w:r w:rsidRPr="00844820">
              <w:rPr>
                <w:noProof/>
                <w:sz w:val="28"/>
                <w:szCs w:val="28"/>
                <w:vertAlign w:val="superscript"/>
              </w:rPr>
              <mc:AlternateContent>
                <mc:Choice Requires="wps">
                  <w:drawing>
                    <wp:anchor distT="0" distB="0" distL="114300" distR="114300" simplePos="0" relativeHeight="251661312" behindDoc="0" locked="0" layoutInCell="1" allowOverlap="1" wp14:anchorId="38D4EEB8" wp14:editId="27797224">
                      <wp:simplePos x="0" y="0"/>
                      <wp:positionH relativeFrom="column">
                        <wp:posOffset>706120</wp:posOffset>
                      </wp:positionH>
                      <wp:positionV relativeFrom="paragraph">
                        <wp:posOffset>67851</wp:posOffset>
                      </wp:positionV>
                      <wp:extent cx="723568"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7235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8AE3B8"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6pt,5.35pt" to="112.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blmAEAAIc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" strokecolor="black [3200]" strokeweight=".5pt">
                      <v:stroke joinstyle="miter"/>
                    </v:line>
                  </w:pict>
                </mc:Fallback>
              </mc:AlternateContent>
            </w:r>
          </w:p>
          <w:p w14:paraId="44C9CC6B" w14:textId="0294AEDA" w:rsidR="00944AFE" w:rsidRPr="00844820" w:rsidRDefault="00585200" w:rsidP="00AF79F2">
            <w:pPr>
              <w:widowControl w:val="0"/>
              <w:pBdr>
                <w:top w:val="nil"/>
                <w:left w:val="nil"/>
                <w:bottom w:val="nil"/>
                <w:right w:val="nil"/>
                <w:between w:val="nil"/>
              </w:pBdr>
              <w:spacing w:before="120" w:after="120" w:line="264" w:lineRule="auto"/>
              <w:ind w:firstLine="0"/>
              <w:jc w:val="center"/>
              <w:rPr>
                <w:sz w:val="28"/>
                <w:szCs w:val="28"/>
              </w:rPr>
            </w:pPr>
            <w:r w:rsidRPr="00844820">
              <w:rPr>
                <w:noProof/>
                <w:sz w:val="28"/>
                <w:szCs w:val="28"/>
              </w:rPr>
              <mc:AlternateContent>
                <mc:Choice Requires="wps">
                  <w:drawing>
                    <wp:anchor distT="0" distB="0" distL="114297" distR="114297" simplePos="0" relativeHeight="251655680" behindDoc="0" locked="0" layoutInCell="1" allowOverlap="1" wp14:anchorId="077C28C5" wp14:editId="283993A9">
                      <wp:simplePos x="0" y="0"/>
                      <wp:positionH relativeFrom="column">
                        <wp:posOffset>800100</wp:posOffset>
                      </wp:positionH>
                      <wp:positionV relativeFrom="paragraph">
                        <wp:posOffset>50800</wp:posOffset>
                      </wp:positionV>
                      <wp:extent cx="0" cy="12700"/>
                      <wp:effectExtent l="8255" t="7620" r="10795" b="0"/>
                      <wp:wrapNone/>
                      <wp:docPr id="3" name="Hình tự do: Hình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00"/>
                              </a:xfrm>
                              <a:custGeom>
                                <a:avLst/>
                                <a:gdLst>
                                  <a:gd name="T0" fmla="*/ 0 w 944880"/>
                                  <a:gd name="T1" fmla="*/ 0 h 1"/>
                                  <a:gd name="T2" fmla="*/ 944880 w 944880"/>
                                  <a:gd name="T3" fmla="*/ 0 h 1"/>
                                </a:gdLst>
                                <a:ahLst/>
                                <a:cxnLst>
                                  <a:cxn ang="0">
                                    <a:pos x="T0" y="T1"/>
                                  </a:cxn>
                                  <a:cxn ang="0">
                                    <a:pos x="T2" y="T3"/>
                                  </a:cxn>
                                </a:cxnLst>
                                <a:rect l="0" t="0" r="r" b="b"/>
                                <a:pathLst>
                                  <a:path w="944880" h="1" extrusionOk="0">
                                    <a:moveTo>
                                      <a:pt x="0" y="0"/>
                                    </a:moveTo>
                                    <a:lnTo>
                                      <a:pt x="944880" y="0"/>
                                    </a:lnTo>
                                  </a:path>
                                </a:pathLst>
                              </a:custGeom>
                              <a:solidFill>
                                <a:srgbClr val="FFFFFF"/>
                              </a:solidFill>
                              <a:ln w="12700">
                                <a:solidFill>
                                  <a:srgbClr val="000000"/>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E5F38C" id="Hình tự do: Hình 4" o:spid="_x0000_s1026" style="position:absolute;margin-left:63pt;margin-top:4pt;width:0;height:1pt;z-index:251655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v-text-anchor:middle" coordsize="9448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" path="m,l944880,e" strokeweight="1pt">
                      <v:stroke startarrowwidth="narrow" startarrowlength="short" endarrowwidth="narrow" endarrowlength="short"/>
                      <v:path arrowok="t" o:extrusionok="f" o:connecttype="custom" o:connectlocs="0,0;1,0" o:connectangles="0,0"/>
                    </v:shape>
                  </w:pict>
                </mc:Fallback>
              </mc:AlternateContent>
            </w:r>
            <w:r w:rsidR="003A631E" w:rsidRPr="00844820">
              <w:rPr>
                <w:sz w:val="28"/>
                <w:szCs w:val="28"/>
              </w:rPr>
              <w:t xml:space="preserve">Số: </w:t>
            </w:r>
            <w:r w:rsidR="00F87A87" w:rsidRPr="00844820">
              <w:rPr>
                <w:sz w:val="28"/>
                <w:szCs w:val="28"/>
              </w:rPr>
              <w:t xml:space="preserve">   </w:t>
            </w:r>
            <w:r w:rsidR="00C631B8" w:rsidRPr="00844820">
              <w:rPr>
                <w:sz w:val="28"/>
                <w:szCs w:val="28"/>
              </w:rPr>
              <w:t xml:space="preserve">   </w:t>
            </w:r>
            <w:r w:rsidR="00F87A87" w:rsidRPr="00844820">
              <w:rPr>
                <w:sz w:val="28"/>
                <w:szCs w:val="28"/>
              </w:rPr>
              <w:t xml:space="preserve">    </w:t>
            </w:r>
            <w:r w:rsidR="003A631E" w:rsidRPr="00844820">
              <w:rPr>
                <w:sz w:val="28"/>
                <w:szCs w:val="28"/>
              </w:rPr>
              <w:t>/</w:t>
            </w:r>
            <w:r w:rsidR="00DB0647" w:rsidRPr="00844820">
              <w:rPr>
                <w:sz w:val="28"/>
                <w:szCs w:val="28"/>
              </w:rPr>
              <w:t>TTr-BCT</w:t>
            </w:r>
          </w:p>
        </w:tc>
        <w:tc>
          <w:tcPr>
            <w:tcW w:w="6378" w:type="dxa"/>
          </w:tcPr>
          <w:p w14:paraId="0CB405C2" w14:textId="380E1DF4" w:rsidR="00944AFE" w:rsidRPr="00844820" w:rsidRDefault="003A631E" w:rsidP="002E559C">
            <w:pPr>
              <w:pStyle w:val="Heading2"/>
              <w:keepNext w:val="0"/>
              <w:widowControl w:val="0"/>
              <w:spacing w:before="0" w:line="264" w:lineRule="auto"/>
              <w:ind w:firstLine="0"/>
              <w:jc w:val="center"/>
              <w:rPr>
                <w:i w:val="0"/>
              </w:rPr>
            </w:pPr>
            <w:r w:rsidRPr="00844820">
              <w:rPr>
                <w:b/>
                <w:i w:val="0"/>
              </w:rPr>
              <w:t>CỘNG HÒA XÃ HỘI CHỦ NGHĨA VIỆT NAM</w:t>
            </w:r>
          </w:p>
          <w:p w14:paraId="714D91A1" w14:textId="77777777" w:rsidR="00944AFE" w:rsidRPr="00844820" w:rsidRDefault="003A631E" w:rsidP="002E559C">
            <w:pPr>
              <w:pStyle w:val="Heading2"/>
              <w:keepNext w:val="0"/>
              <w:widowControl w:val="0"/>
              <w:spacing w:before="0" w:line="264" w:lineRule="auto"/>
              <w:ind w:firstLine="0"/>
              <w:jc w:val="center"/>
              <w:rPr>
                <w:b/>
                <w:i w:val="0"/>
              </w:rPr>
            </w:pPr>
            <w:r w:rsidRPr="00844820">
              <w:rPr>
                <w:b/>
                <w:i w:val="0"/>
              </w:rPr>
              <w:t>Độc lập - Tự do - Hạnh phúc</w:t>
            </w:r>
          </w:p>
          <w:p w14:paraId="47D8C97F" w14:textId="4B6D381A" w:rsidR="0022242E" w:rsidRPr="00844820" w:rsidRDefault="00DF33BE" w:rsidP="001C5672">
            <w:pPr>
              <w:pStyle w:val="Normal1"/>
              <w:widowControl w:val="0"/>
              <w:spacing w:before="120" w:after="120" w:line="264" w:lineRule="auto"/>
              <w:ind w:firstLine="0"/>
              <w:jc w:val="center"/>
              <w:rPr>
                <w:sz w:val="28"/>
                <w:szCs w:val="28"/>
                <w:vertAlign w:val="superscript"/>
              </w:rPr>
            </w:pPr>
            <w:r w:rsidRPr="00844820">
              <w:rPr>
                <w:noProof/>
                <w:sz w:val="28"/>
                <w:szCs w:val="28"/>
                <w:vertAlign w:val="superscript"/>
              </w:rPr>
              <mc:AlternateContent>
                <mc:Choice Requires="wps">
                  <w:drawing>
                    <wp:anchor distT="0" distB="0" distL="114300" distR="114300" simplePos="0" relativeHeight="251663360" behindDoc="0" locked="0" layoutInCell="1" allowOverlap="1" wp14:anchorId="696B4B9E" wp14:editId="63078A75">
                      <wp:simplePos x="0" y="0"/>
                      <wp:positionH relativeFrom="column">
                        <wp:posOffset>902335</wp:posOffset>
                      </wp:positionH>
                      <wp:positionV relativeFrom="paragraph">
                        <wp:posOffset>144476</wp:posOffset>
                      </wp:positionV>
                      <wp:extent cx="2123330" cy="0"/>
                      <wp:effectExtent l="0" t="0" r="29845" b="19050"/>
                      <wp:wrapNone/>
                      <wp:docPr id="7" name="Straight Connector 7"/>
                      <wp:cNvGraphicFramePr/>
                      <a:graphic xmlns:a="http://schemas.openxmlformats.org/drawingml/2006/main">
                        <a:graphicData uri="http://schemas.microsoft.com/office/word/2010/wordprocessingShape">
                          <wps:wsp>
                            <wps:cNvCnPr/>
                            <wps:spPr>
                              <a:xfrm>
                                <a:off x="0" y="0"/>
                                <a:ext cx="2123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F86BFD"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05pt,11.4pt" to="238.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" strokecolor="black [3200]" strokeweight=".5pt">
                      <v:stroke joinstyle="miter"/>
                    </v:line>
                  </w:pict>
                </mc:Fallback>
              </mc:AlternateContent>
            </w:r>
          </w:p>
          <w:p w14:paraId="62B6D84A" w14:textId="251250C1" w:rsidR="00944AFE" w:rsidRPr="00844820" w:rsidRDefault="00585200" w:rsidP="00D874F3">
            <w:pPr>
              <w:pStyle w:val="Heading3"/>
              <w:keepNext w:val="0"/>
              <w:widowControl w:val="0"/>
              <w:tabs>
                <w:tab w:val="left" w:pos="5091"/>
              </w:tabs>
              <w:spacing w:before="120" w:after="120" w:line="264" w:lineRule="auto"/>
              <w:ind w:firstLine="0"/>
            </w:pPr>
            <w:r w:rsidRPr="00844820">
              <w:rPr>
                <w:noProof/>
              </w:rPr>
              <mc:AlternateContent>
                <mc:Choice Requires="wps">
                  <w:drawing>
                    <wp:anchor distT="0" distB="0" distL="114297" distR="114297" simplePos="0" relativeHeight="251656704" behindDoc="0" locked="0" layoutInCell="1" allowOverlap="1" wp14:anchorId="4134CB9B" wp14:editId="228BE956">
                      <wp:simplePos x="0" y="0"/>
                      <wp:positionH relativeFrom="column">
                        <wp:posOffset>800100</wp:posOffset>
                      </wp:positionH>
                      <wp:positionV relativeFrom="paragraph">
                        <wp:posOffset>25400</wp:posOffset>
                      </wp:positionV>
                      <wp:extent cx="0" cy="12700"/>
                      <wp:effectExtent l="6985" t="15240" r="12065" b="635"/>
                      <wp:wrapNone/>
                      <wp:docPr id="2" name="Hình tự do: Hình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00"/>
                              </a:xfrm>
                              <a:custGeom>
                                <a:avLst/>
                                <a:gdLst>
                                  <a:gd name="T0" fmla="*/ 0 w 2099310"/>
                                  <a:gd name="T1" fmla="*/ 0 h 1"/>
                                  <a:gd name="T2" fmla="*/ 2099310 w 2099310"/>
                                  <a:gd name="T3" fmla="*/ 0 h 1"/>
                                </a:gdLst>
                                <a:ahLst/>
                                <a:cxnLst>
                                  <a:cxn ang="0">
                                    <a:pos x="T0" y="T1"/>
                                  </a:cxn>
                                  <a:cxn ang="0">
                                    <a:pos x="T2" y="T3"/>
                                  </a:cxn>
                                </a:cxnLst>
                                <a:rect l="0" t="0" r="r" b="b"/>
                                <a:pathLst>
                                  <a:path w="2099310" h="1" extrusionOk="0">
                                    <a:moveTo>
                                      <a:pt x="0" y="0"/>
                                    </a:moveTo>
                                    <a:lnTo>
                                      <a:pt x="2099310" y="0"/>
                                    </a:lnTo>
                                  </a:path>
                                </a:pathLst>
                              </a:custGeom>
                              <a:solidFill>
                                <a:srgbClr val="FFFFFF"/>
                              </a:solidFill>
                              <a:ln w="12700">
                                <a:solidFill>
                                  <a:srgbClr val="000000"/>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B5F012" id="Hình tự do: Hình 2" o:spid="_x0000_s1026" style="position:absolute;margin-left:63pt;margin-top:2pt;width:0;height:1pt;z-index:251656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v-text-anchor:middle" coordsize="2099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" path="m,l2099310,e" strokeweight="1pt">
                      <v:stroke startarrowwidth="narrow" startarrowlength="short" endarrowwidth="narrow" endarrowlength="short"/>
                      <v:path arrowok="t" o:extrusionok="f" o:connecttype="custom" o:connectlocs="0,0;1,0" o:connectangles="0,0"/>
                    </v:shape>
                  </w:pict>
                </mc:Fallback>
              </mc:AlternateContent>
            </w:r>
            <w:r w:rsidR="003A631E" w:rsidRPr="00844820">
              <w:t xml:space="preserve">Hà Nội, ngày </w:t>
            </w:r>
            <w:r w:rsidR="00F87A87" w:rsidRPr="00844820">
              <w:t xml:space="preserve">  </w:t>
            </w:r>
            <w:r w:rsidR="00BD4686" w:rsidRPr="00844820">
              <w:t xml:space="preserve"> </w:t>
            </w:r>
            <w:r w:rsidR="00F87A87" w:rsidRPr="00844820">
              <w:t xml:space="preserve"> </w:t>
            </w:r>
            <w:r w:rsidR="00BD4686" w:rsidRPr="00844820">
              <w:t xml:space="preserve"> tháng </w:t>
            </w:r>
            <w:r w:rsidR="00D874F3" w:rsidRPr="00844820">
              <w:t>8</w:t>
            </w:r>
            <w:r w:rsidR="009E0F0D" w:rsidRPr="00844820">
              <w:rPr>
                <w:lang w:val="vi-VN"/>
              </w:rPr>
              <w:t xml:space="preserve"> </w:t>
            </w:r>
            <w:r w:rsidR="003A631E" w:rsidRPr="00844820">
              <w:t>năm 202</w:t>
            </w:r>
            <w:r w:rsidR="00823804" w:rsidRPr="00844820">
              <w:t>6</w:t>
            </w:r>
          </w:p>
        </w:tc>
      </w:tr>
    </w:tbl>
    <w:p w14:paraId="6578BC80" w14:textId="7AFEBAFA" w:rsidR="00C631B8" w:rsidRPr="00844820" w:rsidRDefault="00C631B8" w:rsidP="00C64D91">
      <w:pPr>
        <w:widowControl w:val="0"/>
        <w:pBdr>
          <w:top w:val="nil"/>
          <w:left w:val="nil"/>
          <w:bottom w:val="nil"/>
          <w:right w:val="nil"/>
          <w:between w:val="nil"/>
        </w:pBdr>
        <w:spacing w:before="0" w:line="264" w:lineRule="auto"/>
        <w:ind w:firstLine="709"/>
        <w:jc w:val="center"/>
        <w:rPr>
          <w:b/>
          <w:sz w:val="28"/>
          <w:szCs w:val="28"/>
        </w:rPr>
      </w:pPr>
    </w:p>
    <w:p w14:paraId="4B99A2DB" w14:textId="16E72683" w:rsidR="00FF3017" w:rsidRPr="00844820" w:rsidRDefault="003A631E" w:rsidP="00C64D91">
      <w:pPr>
        <w:widowControl w:val="0"/>
        <w:pBdr>
          <w:top w:val="nil"/>
          <w:left w:val="nil"/>
          <w:bottom w:val="nil"/>
          <w:right w:val="nil"/>
          <w:between w:val="nil"/>
        </w:pBdr>
        <w:spacing w:before="0" w:line="264" w:lineRule="auto"/>
        <w:ind w:firstLine="0"/>
        <w:jc w:val="center"/>
        <w:rPr>
          <w:b/>
          <w:sz w:val="28"/>
          <w:szCs w:val="28"/>
        </w:rPr>
      </w:pPr>
      <w:r w:rsidRPr="00844820">
        <w:rPr>
          <w:b/>
          <w:sz w:val="28"/>
          <w:szCs w:val="28"/>
        </w:rPr>
        <w:t>TỜ TRÌNH</w:t>
      </w:r>
      <w:r w:rsidR="009E4807" w:rsidRPr="00844820">
        <w:rPr>
          <w:b/>
          <w:sz w:val="28"/>
          <w:szCs w:val="28"/>
        </w:rPr>
        <w:t xml:space="preserve"> </w:t>
      </w:r>
      <w:r w:rsidRPr="00844820">
        <w:rPr>
          <w:b/>
          <w:sz w:val="28"/>
          <w:szCs w:val="28"/>
        </w:rPr>
        <w:br/>
      </w:r>
      <w:r w:rsidR="00F87A87" w:rsidRPr="00844820">
        <w:rPr>
          <w:b/>
          <w:spacing w:val="-14"/>
          <w:sz w:val="28"/>
          <w:szCs w:val="28"/>
        </w:rPr>
        <w:t xml:space="preserve">Dự án </w:t>
      </w:r>
      <w:r w:rsidR="00C631B8" w:rsidRPr="00844820">
        <w:rPr>
          <w:rFonts w:eastAsia="Yu Gothic"/>
          <w:b/>
          <w:bCs/>
          <w:sz w:val="28"/>
          <w:szCs w:val="28"/>
        </w:rPr>
        <w:t>Luật Giao dịch hàng hóa phái sinh</w:t>
      </w:r>
    </w:p>
    <w:p w14:paraId="033BBCB9" w14:textId="41C8E6EE" w:rsidR="00FF3017" w:rsidRPr="00844820" w:rsidRDefault="00FF3017" w:rsidP="00C64D91">
      <w:pPr>
        <w:widowControl w:val="0"/>
        <w:pBdr>
          <w:top w:val="nil"/>
          <w:left w:val="nil"/>
          <w:bottom w:val="nil"/>
          <w:right w:val="nil"/>
          <w:between w:val="nil"/>
        </w:pBdr>
        <w:spacing w:before="0" w:line="264" w:lineRule="auto"/>
        <w:ind w:firstLine="0"/>
        <w:jc w:val="center"/>
        <w:rPr>
          <w:sz w:val="28"/>
          <w:szCs w:val="28"/>
          <w:vertAlign w:val="superscript"/>
        </w:rPr>
      </w:pPr>
      <w:r w:rsidRPr="00844820">
        <w:rPr>
          <w:noProof/>
          <w:sz w:val="28"/>
          <w:szCs w:val="28"/>
          <w:vertAlign w:val="superscript"/>
        </w:rPr>
        <mc:AlternateContent>
          <mc:Choice Requires="wps">
            <w:drawing>
              <wp:anchor distT="0" distB="0" distL="114300" distR="114300" simplePos="0" relativeHeight="251660288" behindDoc="0" locked="0" layoutInCell="1" allowOverlap="1" wp14:anchorId="31638B67" wp14:editId="2E8FFEB3">
                <wp:simplePos x="0" y="0"/>
                <wp:positionH relativeFrom="column">
                  <wp:posOffset>2377136</wp:posOffset>
                </wp:positionH>
                <wp:positionV relativeFrom="paragraph">
                  <wp:posOffset>40971</wp:posOffset>
                </wp:positionV>
                <wp:extent cx="1041621"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10416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70462C"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2pt,3.25pt" to="269.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" strokecolor="black [3200]" strokeweight=".5pt">
                <v:stroke joinstyle="miter"/>
              </v:line>
            </w:pict>
          </mc:Fallback>
        </mc:AlternateContent>
      </w:r>
    </w:p>
    <w:p w14:paraId="5886FFA4" w14:textId="2F97E828" w:rsidR="0077456C" w:rsidRPr="00844820" w:rsidRDefault="003A631E" w:rsidP="00C64D91">
      <w:pPr>
        <w:widowControl w:val="0"/>
        <w:pBdr>
          <w:top w:val="nil"/>
          <w:left w:val="nil"/>
          <w:bottom w:val="nil"/>
          <w:right w:val="nil"/>
          <w:between w:val="nil"/>
        </w:pBdr>
        <w:spacing w:before="0" w:line="264" w:lineRule="auto"/>
        <w:ind w:firstLine="0"/>
        <w:jc w:val="center"/>
        <w:rPr>
          <w:sz w:val="28"/>
          <w:szCs w:val="28"/>
        </w:rPr>
      </w:pPr>
      <w:r w:rsidRPr="00844820">
        <w:rPr>
          <w:sz w:val="28"/>
          <w:szCs w:val="28"/>
        </w:rPr>
        <w:t>Kính gửi:</w:t>
      </w:r>
      <w:r w:rsidR="00F66D3E" w:rsidRPr="00844820">
        <w:rPr>
          <w:sz w:val="28"/>
          <w:szCs w:val="28"/>
        </w:rPr>
        <w:t xml:space="preserve"> Chính phủ</w:t>
      </w:r>
    </w:p>
    <w:p w14:paraId="71B2240A" w14:textId="77777777" w:rsidR="00C631B8" w:rsidRPr="00844820" w:rsidRDefault="00C631B8" w:rsidP="002A1B02">
      <w:pPr>
        <w:widowControl w:val="0"/>
        <w:pBdr>
          <w:top w:val="nil"/>
          <w:left w:val="nil"/>
          <w:bottom w:val="nil"/>
          <w:right w:val="nil"/>
          <w:between w:val="nil"/>
        </w:pBdr>
        <w:spacing w:before="120" w:line="264" w:lineRule="auto"/>
        <w:rPr>
          <w:sz w:val="28"/>
          <w:szCs w:val="28"/>
        </w:rPr>
      </w:pPr>
    </w:p>
    <w:p w14:paraId="05199F74" w14:textId="50D1F9A9" w:rsidR="006A0945" w:rsidRPr="00844820" w:rsidRDefault="005E673A" w:rsidP="00956135">
      <w:pPr>
        <w:widowControl w:val="0"/>
        <w:tabs>
          <w:tab w:val="left" w:pos="709"/>
        </w:tabs>
        <w:spacing w:before="120" w:after="120" w:line="264" w:lineRule="auto"/>
        <w:rPr>
          <w:bCs/>
          <w:w w:val="97"/>
          <w:sz w:val="28"/>
          <w:szCs w:val="28"/>
          <w:lang w:val="pt-BR"/>
        </w:rPr>
      </w:pPr>
      <w:r w:rsidRPr="00844820">
        <w:rPr>
          <w:bCs/>
          <w:w w:val="97"/>
          <w:sz w:val="28"/>
          <w:szCs w:val="28"/>
          <w:lang w:val="pt-BR"/>
        </w:rPr>
        <w:t xml:space="preserve">Thực hiện </w:t>
      </w:r>
      <w:r w:rsidR="00AF79F2" w:rsidRPr="00844820">
        <w:rPr>
          <w:bCs/>
          <w:w w:val="97"/>
          <w:sz w:val="28"/>
          <w:szCs w:val="28"/>
          <w:lang w:val="pt-BR"/>
        </w:rPr>
        <w:t>Luật Ban hành văn bản quy phạm pháp</w:t>
      </w:r>
      <w:r w:rsidR="00AF15B8" w:rsidRPr="00844820">
        <w:rPr>
          <w:bCs/>
          <w:w w:val="97"/>
          <w:sz w:val="28"/>
          <w:szCs w:val="28"/>
          <w:lang w:val="pt-BR"/>
        </w:rPr>
        <w:t xml:space="preserve"> luật</w:t>
      </w:r>
      <w:r w:rsidRPr="00844820">
        <w:rPr>
          <w:bCs/>
          <w:w w:val="97"/>
          <w:sz w:val="28"/>
          <w:szCs w:val="28"/>
          <w:lang w:val="pt-BR"/>
        </w:rPr>
        <w:t>,</w:t>
      </w:r>
      <w:r w:rsidR="006A0945" w:rsidRPr="00844820">
        <w:rPr>
          <w:bCs/>
          <w:w w:val="97"/>
          <w:sz w:val="28"/>
          <w:szCs w:val="28"/>
          <w:lang w:val="pt-BR"/>
        </w:rPr>
        <w:t xml:space="preserve"> Bộ Công Thương kính trình Chính phủ </w:t>
      </w:r>
      <w:r w:rsidR="00AF15B8" w:rsidRPr="00844820">
        <w:rPr>
          <w:bCs/>
          <w:w w:val="97"/>
          <w:sz w:val="28"/>
          <w:szCs w:val="28"/>
          <w:lang w:val="pt-BR"/>
        </w:rPr>
        <w:t>d</w:t>
      </w:r>
      <w:r w:rsidR="006A0945" w:rsidRPr="00844820">
        <w:rPr>
          <w:bCs/>
          <w:w w:val="97"/>
          <w:sz w:val="28"/>
          <w:szCs w:val="28"/>
          <w:lang w:val="pt-BR"/>
        </w:rPr>
        <w:t xml:space="preserve">ự án </w:t>
      </w:r>
      <w:r w:rsidR="00A54548" w:rsidRPr="00844820">
        <w:rPr>
          <w:bCs/>
          <w:w w:val="97"/>
          <w:sz w:val="28"/>
          <w:szCs w:val="28"/>
          <w:lang w:val="pt-BR"/>
        </w:rPr>
        <w:t xml:space="preserve">Luật </w:t>
      </w:r>
      <w:r w:rsidR="006A0945" w:rsidRPr="00844820">
        <w:rPr>
          <w:bCs/>
          <w:w w:val="97"/>
          <w:sz w:val="28"/>
          <w:szCs w:val="28"/>
          <w:lang w:val="pt-BR"/>
        </w:rPr>
        <w:t>Giao dịch hàng hóa phái sinh</w:t>
      </w:r>
      <w:r w:rsidR="00AF79F2" w:rsidRPr="00844820">
        <w:rPr>
          <w:bCs/>
          <w:w w:val="97"/>
          <w:sz w:val="28"/>
          <w:szCs w:val="28"/>
          <w:lang w:val="pt-BR"/>
        </w:rPr>
        <w:t xml:space="preserve"> (dự án Luật)</w:t>
      </w:r>
      <w:r w:rsidR="006A0945" w:rsidRPr="00844820">
        <w:rPr>
          <w:bCs/>
          <w:w w:val="97"/>
          <w:sz w:val="28"/>
          <w:szCs w:val="28"/>
          <w:lang w:val="pt-BR"/>
        </w:rPr>
        <w:t xml:space="preserve"> như sau:</w:t>
      </w:r>
    </w:p>
    <w:p w14:paraId="493FDC26" w14:textId="414EAA41" w:rsidR="00F87A87" w:rsidRPr="00844820" w:rsidRDefault="00F87A87" w:rsidP="00956135">
      <w:pPr>
        <w:widowControl w:val="0"/>
        <w:tabs>
          <w:tab w:val="right" w:leader="dot" w:pos="7920"/>
        </w:tabs>
        <w:spacing w:before="120" w:after="120" w:line="264" w:lineRule="auto"/>
        <w:rPr>
          <w:b/>
          <w:sz w:val="28"/>
          <w:szCs w:val="28"/>
        </w:rPr>
      </w:pPr>
      <w:r w:rsidRPr="00844820">
        <w:rPr>
          <w:b/>
          <w:sz w:val="28"/>
          <w:szCs w:val="28"/>
          <w:lang w:val="vi-VN"/>
        </w:rPr>
        <w:t xml:space="preserve">I. SỰ CẦN THIẾT </w:t>
      </w:r>
      <w:r w:rsidR="00AD167C" w:rsidRPr="00844820">
        <w:rPr>
          <w:b/>
          <w:sz w:val="28"/>
          <w:szCs w:val="28"/>
        </w:rPr>
        <w:t>BAN HÀNH LUẬT</w:t>
      </w:r>
    </w:p>
    <w:p w14:paraId="4CA9BE55" w14:textId="0952195A" w:rsidR="00A54548" w:rsidRPr="00844820" w:rsidRDefault="00A54548" w:rsidP="00956135">
      <w:pPr>
        <w:widowControl w:val="0"/>
        <w:tabs>
          <w:tab w:val="left" w:pos="993"/>
        </w:tabs>
        <w:spacing w:before="120" w:after="120" w:line="264" w:lineRule="auto"/>
        <w:rPr>
          <w:rFonts w:eastAsia="Yu Gothic"/>
          <w:b/>
          <w:sz w:val="28"/>
          <w:szCs w:val="28"/>
        </w:rPr>
      </w:pPr>
      <w:r w:rsidRPr="00844820">
        <w:rPr>
          <w:rFonts w:eastAsia="Yu Gothic"/>
          <w:b/>
          <w:sz w:val="28"/>
          <w:szCs w:val="28"/>
        </w:rPr>
        <w:t>1. Cơ sở chính trị</w:t>
      </w:r>
      <w:r w:rsidR="00702B4D" w:rsidRPr="00844820">
        <w:rPr>
          <w:rFonts w:eastAsia="Yu Gothic"/>
          <w:b/>
          <w:sz w:val="28"/>
          <w:szCs w:val="28"/>
        </w:rPr>
        <w:t>, pháp lý</w:t>
      </w:r>
    </w:p>
    <w:p w14:paraId="64A43280" w14:textId="68608B61" w:rsidR="00FD4AC0" w:rsidRPr="00844820" w:rsidRDefault="00D4392A" w:rsidP="00956135">
      <w:pPr>
        <w:pStyle w:val="isselectedend"/>
        <w:widowControl w:val="0"/>
        <w:spacing w:before="120" w:beforeAutospacing="0" w:after="120" w:afterAutospacing="0" w:line="264" w:lineRule="auto"/>
        <w:ind w:firstLine="720"/>
        <w:jc w:val="both"/>
        <w:rPr>
          <w:sz w:val="28"/>
          <w:szCs w:val="28"/>
        </w:rPr>
      </w:pPr>
      <w:r w:rsidRPr="00844820">
        <w:rPr>
          <w:sz w:val="28"/>
          <w:szCs w:val="28"/>
        </w:rPr>
        <w:t>Dự án Luật được xây dựng nhằm thể chế hóa các chủ trương, đường lối của Đảng và Nhà nước; hoàn thiện khuôn khổ pháp lý đối với thị trường giao dịch hàng hóa phái sinh theo hướng hiện đại, minh bạch và hiệu quả; góp phần nâng cao hiệu quả phân bổ nguồn lực, năng lực quản trị rủi ro về giá và khả năng tham gia của thị trường hàng hóa Việt Nam vào quá trình hình thành giá trên thị trường khu vực và quốc tế, qua đó thúc đẩy tăng trưởng kinh tế và nâng cao năng lực cạnh tranh quốc gia.</w:t>
      </w:r>
      <w:r w:rsidR="00BD4686" w:rsidRPr="00844820">
        <w:rPr>
          <w:sz w:val="28"/>
          <w:szCs w:val="28"/>
        </w:rPr>
        <w:t xml:space="preserve"> </w:t>
      </w:r>
    </w:p>
    <w:p w14:paraId="7B145584" w14:textId="77777777" w:rsidR="00722290"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Trong những năm gần đây, Đảng và Nhà nước đã ban hành nhiều chủ trương, định hướng lớn liên quan đến hoàn thiện thể chế kinh tế thị trường, phát triển các loại thị trường hiện đại, thúc đẩy chuyển đổi số và nâng cao năng lực hội nhập quốc tế. Đây là cơ sở chính trị quan trọng định hướng cho việc nghiên cứu, xây dựng và hoàn thiện khuôn khổ pháp lý đối với thị trường giao dịch hàng hóa phái sinh tại Việt Nam.</w:t>
      </w:r>
    </w:p>
    <w:p w14:paraId="56219D64" w14:textId="77777777" w:rsidR="00722290"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Văn kiện Đại hội đại biểu toàn quốc lần thứ XIII và lần thứ XIV của Đảng tiếp tục khẳng định yêu cầu hoàn thiện đồng bộ thể chế phát triển nền kinh tế thị trường định hướng xã hội chủ nghĩa hiện đại, hội nhập; phát triển đầy đủ, đồng bộ các loại thị trường; phát triển thị trường hàng hóa, dịch vụ theo các phương thức tổ chức và giao dịch văn minh, hiện đại; đồng thời tháo gỡ các điểm nghẽn thể chế nhằm nâng cao hiệu quả phân bổ nguồn lực và năng lực cạnh tranh của nền kinh tế. Trong đó, Văn kiện Đại hội XIV của Đảng nhấn mạnh yêu cầu “tập trung ưu tiên xây dựng đồng bộ thể chế phát triển, trọng tâm là hệ thống pháp luật, cơ chế, chính sách nhằm tháo gỡ kịp thời, dứt điểm các nút thắt, điểm nghẽn, thúc đẩy đổi mới sáng tạo, bảo đảm sự đồng bộ, hài hòa giữa tăng trưởng và phát triển”.</w:t>
      </w:r>
    </w:p>
    <w:p w14:paraId="629FE9A8" w14:textId="77777777" w:rsidR="00722290"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lastRenderedPageBreak/>
        <w:t>Cùng với đó, Nghị quyết số 11-NQ/TW ngày 03/6/2017 của Hội nghị Trung ương 5 khóa XII về hoàn thiện thể chế kinh tế thị trường định hướng xã hội chủ nghĩa đã đặt ra yêu cầu phát triển đồng bộ, vận hành thông suốt các loại thị trường; đẩy mạnh phát triển thị trường hàng hóa, dịch vụ và phát triển mạnh các phương thức giao dịch thị trường hiện đại. Đây là định hướng quan trọng đối với việc hoàn thiện cơ chế tổ chức và vận hành thị trường giao dịch hàng hóa phái sinh theo hướng hiện đại, minh bạch và phù hợp với thông lệ quốc tế.</w:t>
      </w:r>
    </w:p>
    <w:p w14:paraId="2BD3B430" w14:textId="77777777" w:rsidR="00722290"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Các Nghị quyết số 57-NQ/TW ngày 22/12/2024, số 59-NQ/TW ngày 24/01/2025, số 66-NQ/TW ngày 30/4/2025 và số 68-NQ/TW ngày 04/5/2025 của Bộ Chính trị tiếp tục nhấn mạnh yêu cầu hoàn thiện thể chế theo hướng kiến tạo phát triển; thúc đẩy đổi mới sáng tạo, chuyển đổi số, phát triển các mô hình kinh tế mới; hoàn thiện khung pháp lý đối với các phương thức giao dịch và mô hình kinh doanh trên nền tảng số; đồng thời nâng cao năng lực hội nhập quốc tế và xây dựng môi trường đầu tư kinh doanh minh bạch, hiện đại, cạnh tranh quốc tế. Các chủ trương này tạo cơ sở chính trị quan trọng cho việc xây dựng khuôn khổ pháp lý đối với thị trường giao dịch hàng hóa phái sinh theo hướng linh hoạt, hiện đại, có khả năng quản trị rủi ro và thích ứng với xu hướng phát triển mới của thị trường quốc tế. Bên cạnh đó, Nghị quyết số 244/2025/QH15 ngày 13/11/2025 của Quốc hội về Kế hoạch phát triển kinh tế - xã hội năm 2026 và Nghị quyết số 25/2026/QH16 ngày 24/4/2026 của Quốc hội về Kế hoạch phát triển kinh tế - xã hội 5 năm 2026-2030 tiếp tục xác định yêu cầu hoàn thiện thể chế kinh tế thị trường hiện đại, phát triển đồng bộ các loại thị trường, thúc đẩy chuyển đổi số, nâng cao năng lực cạnh tranh và khả năng chống chịu của nền kinh tế trước biến động thị trường quốc tế; đồng thời phát triển các công cụ quản trị rủi ro, đa dạng hóa các kênh huy động và phân bổ nguồn lực cho nền kinh tế.</w:t>
      </w:r>
    </w:p>
    <w:p w14:paraId="41588475" w14:textId="77777777" w:rsidR="00666019"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Kết luận số 18-KL/TW ngày 02/4/2026 của Ban Chấp hành Trung ương Đảng khóa XIV tiếp tục đặt ra yêu cầu hoàn thiện đồng bộ, hiện đại thể chế phát triển; phát triển thị trường tài chính theo hướng hiện đại, đa dạng hóa các kênh dẫn vốn và phát triển các công cụ phòng ngừa rủi ro theo thông lệ quốc tế; đồng thời chuyển mạnh phương thức quản lý nhà nước từ “tiền kiểm” sang “hậu kiểm” gắn với tăng cường giám sát. Đây là định hướng có ý nghĩa trực tiếp đối với việc xây dựng cơ chế quản lý, giám sát và vận hành thị trường giao dịch hàng hóa phái sinh tại Việt Nam.</w:t>
      </w:r>
    </w:p>
    <w:p w14:paraId="674819AB" w14:textId="6DCF3606" w:rsidR="00666019" w:rsidRPr="00844820" w:rsidRDefault="00666019"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Chủ trương chuyển mạnh từ “tiền kiểm” sang “hậu kiểm” theo Nghị quyết số 66-NQ/TW, Nghị quyết số 68-NQ/TW và Kết luận số 18-KL/TW nêu trên được thể chế hóa trong dự thảo Luật theo hướng quy định minh bạch điều kiện cấp phép, chấp thuận; tăng cường nghĩa vụ công bố thông tin, báo cáo, cung cấp dữ liệu và cơ chế giám sát sau cấp phép đối với Sở giao dịch hàng hóa, Trung tâm thanh toán bù trừ và các chủ thể tham gia thị trường.</w:t>
      </w:r>
    </w:p>
    <w:p w14:paraId="48E9AC1D" w14:textId="279400A5" w:rsidR="00666019" w:rsidRPr="00844820" w:rsidRDefault="00666019"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Đồng thời, dự thảo Luật quy định cơ chế thử nghiệm có kiểm soát nhằm tạo khuôn khổ pháp lý để thử nghiệm có thời hạn đối với công nghệ, quy trình, giải pháp, sản phẩm, dịch vụ và mô hình kinh doanh mới phát sinh trong quá trình phát triển thị trường nhưng chưa được pháp luật quy định hoặc chưa có đầy đủ cơ sở thực tiễn để áp dụng chính thức. Cơ chế này cho phép vừa tạo không gian cho đổi mới sáng tạo, đánh giá tính khả thi trước khi áp dụng rộng rãi, vừa bảo đảm yêu cầu giám sát, quản lý rủi ro và bảo vệ khách hàng, nhà đầu tư, phù hợp với chủ trương giảm tiền kiểm, tăng hậu kiểm.</w:t>
      </w:r>
    </w:p>
    <w:p w14:paraId="6BD30BD3" w14:textId="77777777" w:rsidR="00722290"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Trong bối cảnh nền kinh tế bước vào giai đoạn phát triển mới với mục tiêu tăng trưởng nhanh nhưng bền vững, yêu cầu nâng cao hiệu quả phân bổ nguồn lực, tăng cường năng lực ứng phó trước biến động thị trường quốc tế và hình thành các công cụ quản trị rủi ro hiện đại cho doanh nghiệp ngày càng trở nên cấp thiết. Điều này đặt ra yêu cầu khách quan cần tiếp tục hoàn thiện khuôn khổ pháp lý đối với thị trường giao dịch hàng hóa phái sinh nhằm tạo lập môi trường pháp lý minh bạch, an toàn, hiện đại và phù hợp với yêu cầu hội nhập quốc tế.</w:t>
      </w:r>
    </w:p>
    <w:p w14:paraId="4567BACA" w14:textId="77777777" w:rsidR="00722290"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Theo quy định tại Điều 70 Hiến pháp năm 2013, Quốc hội là cơ quan thực hiện quyền lập hiến, quyền lập pháp và quyết định các chính sách cơ bản về kinh tế của đất nước. Đồng thời, theo điểm b và điểm c khoản 1 Điều 10 Luật Ban hành văn bản quy phạm pháp luật năm 2025, Quốc hội ban hành luật để quy định về các chính sách cơ bản trong lĩnh vực kinh tế, thương mại và các vấn đề thuộc thẩm quyền của Quốc hội.</w:t>
      </w:r>
    </w:p>
    <w:p w14:paraId="3775B8F1" w14:textId="77777777" w:rsidR="00722290"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Thực hiện quy định nêu trên, ngày 06/02/2026, Ủy ban Thường vụ Quốc hội đã ban hành Nghị quyết số 119/2026/UBTVQH15 bổ sung dự án Luật Giao dịch hàng hóa phái sinh vào Chương trình lập pháp năm 2026, giao Chính phủ tổ chức nghiên cứu, xây dựng Hồ sơ đề nghị xây dựng Luật và dự án Luật để trình Quốc hội xem xét, thông qua theo quy định.</w:t>
      </w:r>
    </w:p>
    <w:p w14:paraId="130B7534" w14:textId="50DCDCB1" w:rsidR="002702CB" w:rsidRPr="00844820" w:rsidRDefault="00722290"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Qua rà soát tổng thể 3</w:t>
      </w:r>
      <w:r w:rsidR="00551ACA">
        <w:rPr>
          <w:sz w:val="28"/>
          <w:szCs w:val="28"/>
          <w:lang w:eastAsia="vi-VN" w:bidi="vi-VN"/>
        </w:rPr>
        <w:t>7</w:t>
      </w:r>
      <w:r w:rsidRPr="00844820">
        <w:rPr>
          <w:sz w:val="28"/>
          <w:szCs w:val="28"/>
          <w:lang w:eastAsia="vi-VN" w:bidi="vi-VN"/>
        </w:rPr>
        <w:t xml:space="preserve"> văn bản quy phạm pháp luật có liên quan, gồm các </w:t>
      </w:r>
      <w:r w:rsidR="002702CB" w:rsidRPr="00844820">
        <w:rPr>
          <w:sz w:val="28"/>
          <w:szCs w:val="28"/>
          <w:lang w:eastAsia="vi-VN" w:bidi="vi-VN"/>
        </w:rPr>
        <w:t>Luật, Nghị quyết, Pháp lệnh, Nghị định và T</w:t>
      </w:r>
      <w:r w:rsidRPr="00844820">
        <w:rPr>
          <w:sz w:val="28"/>
          <w:szCs w:val="28"/>
          <w:lang w:eastAsia="vi-VN" w:bidi="vi-VN"/>
        </w:rPr>
        <w:t>hông tư trong các lĩnh vực thương mại, đầu tư, tài chính, ngân hàng, ngoại hối, công nghệ, dữ liệu, cạnh tranh và giải quyết tranh chấp, có thể thấy hệ thống pháp luật hiện hành đã bước đầu tạo cơ sở pháp lý cho hoạt động giao dịch hàng hóa phái sinh tại Việt Nam. Các quy định hiện hành đã đề cập đến một số nội dung liên quan như hoạt động mua bán hàng hóa qua Sở giao dịch hàng hóa, cung ứng sản phẩm phái sinh giá hàng hóa của tổ chức tín dụng, thanh toán, quản lý ngoại hối, giao dịch điện tử và xử lý vi phạm trong hoạt động thương mại.</w:t>
      </w:r>
    </w:p>
    <w:p w14:paraId="399C0044" w14:textId="5AA3FA24" w:rsidR="002702CB" w:rsidRPr="00844820" w:rsidRDefault="00551ACA" w:rsidP="00956135">
      <w:pPr>
        <w:pStyle w:val="isselectedend"/>
        <w:widowControl w:val="0"/>
        <w:spacing w:before="120" w:beforeAutospacing="0" w:after="120" w:afterAutospacing="0" w:line="264" w:lineRule="auto"/>
        <w:ind w:firstLine="720"/>
        <w:jc w:val="both"/>
        <w:rPr>
          <w:sz w:val="28"/>
          <w:szCs w:val="28"/>
          <w:lang w:eastAsia="vi-VN" w:bidi="vi-VN"/>
        </w:rPr>
      </w:pPr>
      <w:r w:rsidRPr="00551ACA">
        <w:rPr>
          <w:sz w:val="28"/>
          <w:szCs w:val="28"/>
          <w:lang w:eastAsia="vi-VN" w:bidi="vi-VN"/>
        </w:rPr>
        <w:t>Bộ luật Dân sự số 91/2015/QH13 là cơ sở pháp lý chung về hợp đồng, tài sản, ký quỹ, bảo đảm thực hiện nghĩa vụ và trách nhiệm dân sự, nhưng chưa có quy định đặc thù đối với hợp đồng phái sinh và thanh toán bù trừ tập trung.</w:t>
      </w:r>
      <w:r>
        <w:rPr>
          <w:sz w:val="28"/>
          <w:szCs w:val="28"/>
          <w:lang w:eastAsia="vi-VN" w:bidi="vi-VN"/>
        </w:rPr>
        <w:t xml:space="preserve"> </w:t>
      </w:r>
      <w:r w:rsidR="002702CB" w:rsidRPr="00844820">
        <w:rPr>
          <w:sz w:val="28"/>
          <w:szCs w:val="28"/>
          <w:lang w:eastAsia="vi-VN" w:bidi="vi-VN"/>
        </w:rPr>
        <w:t>Luật Thương mại số 36/2005/QH11 và các văn bản hướng dẫn thi hành đã quy định hoạt động mua bán hàng hóa qua Sở giao dịch hàng hóa, tuy nhiên mới dừng ở quy định khung, chưa điều chỉnh đầy đủ các sản phẩm, phương thức giao dịch và thiết chế của thị trường giao dịch hàng hóa phái sinh hiện đại.</w:t>
      </w:r>
      <w:r>
        <w:rPr>
          <w:sz w:val="28"/>
          <w:szCs w:val="28"/>
          <w:lang w:eastAsia="vi-VN" w:bidi="vi-VN"/>
        </w:rPr>
        <w:t xml:space="preserve"> </w:t>
      </w:r>
      <w:r w:rsidRPr="00551ACA">
        <w:rPr>
          <w:sz w:val="28"/>
          <w:szCs w:val="28"/>
          <w:lang w:eastAsia="vi-VN" w:bidi="vi-VN"/>
        </w:rPr>
        <w:t>Luật Quản lý ngoại thương số 05/2017/QH14 có liên quan đến việc xác định và quản lý hàng hóa cơ sở, nhất là hàng hóa thuộc diện cấm, hạn chế kinh doanh, xuất khẩu, nhập khẩu.</w:t>
      </w:r>
      <w:r w:rsidR="002702CB" w:rsidRPr="00844820">
        <w:rPr>
          <w:sz w:val="28"/>
          <w:szCs w:val="28"/>
          <w:lang w:eastAsia="vi-VN" w:bidi="vi-VN"/>
        </w:rPr>
        <w:t xml:space="preserve"> Luật Thương mại điện tử số 122/2025/QH15 đã loại trừ Sở giao dịch hàng hóa khỏi phạm vi điều chỉnh trực tiếp, đặt ra yêu cầu hoàn thiện cơ chế pháp lý riêng đối với hoạt động giao dịch hàng hóa phái sinh trên môi trường số.</w:t>
      </w:r>
    </w:p>
    <w:p w14:paraId="30C30945" w14:textId="77777777" w:rsidR="002702CB" w:rsidRPr="00844820" w:rsidRDefault="002702CB"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Luật Điện lực số 61/2024/QH15 đã bước đầu ghi nhận một số công cụ phái sinh đối với mặt hàng điện, tuy nhiên chưa có khuôn khổ pháp lý chung đối với các loại hàng hóa khác, đòi hỏi bảo đảm tính thống nhất của hệ thống pháp luật khi xây dựng Luật Giao dịch hàng hóa phái sinh.</w:t>
      </w:r>
    </w:p>
    <w:p w14:paraId="45476A5E" w14:textId="39850D62" w:rsidR="002702CB" w:rsidRPr="00844820" w:rsidRDefault="002702CB"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Luật Doanh nghiệp số 59/2020/QH14 (được sửa đổi, bổ sung năm 2025) và Luật Đầu tư số 143/2025/QH15 đã quy định về chủ thể kinh doanh và điều kiện gia nhập thị trường, nhưng chưa quy định đầy đủ đối với các chủ thể đặc thù của thị trường như Trung tâm thanh toán bù trừ, thành viên bù trừ, nhà tạo lập thị trường và các yêu cầu về quản trị rủi ro, hạ tầng công nghệ.</w:t>
      </w:r>
      <w:r w:rsidR="00551ACA">
        <w:rPr>
          <w:sz w:val="28"/>
          <w:szCs w:val="28"/>
          <w:lang w:eastAsia="vi-VN" w:bidi="vi-VN"/>
        </w:rPr>
        <w:t xml:space="preserve"> </w:t>
      </w:r>
      <w:r w:rsidR="00551ACA" w:rsidRPr="00551ACA">
        <w:rPr>
          <w:sz w:val="28"/>
          <w:szCs w:val="28"/>
          <w:lang w:eastAsia="vi-VN" w:bidi="vi-VN"/>
        </w:rPr>
        <w:t>Luật Phục hồi, phá sản số 142/2025/QH15 đã quy định về mất khả năng thanh toán, xử lý tài sản và quyền của chủ nợ, nhưng chưa có cơ chế đặc thù đối với tài sản ký quỹ, quỹ bảo đảm thanh toán và tài sản của khách hàng khi chủ thể tham gia thị trường mất khả năng thanh toán.</w:t>
      </w:r>
    </w:p>
    <w:p w14:paraId="5FC86ADE" w14:textId="004878F4" w:rsidR="002702CB" w:rsidRDefault="002702CB"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Luật Các tổ chức tín dụng số 32/2024/QH15 (được sửa đổi, bổ sung năm 2025), Luật Thuế giá trị gia tăng số 48/2024/QH15 và các quy định về ngoại hối, thanh toán đã điều chỉnh một số khía cạnh tài chính của giao dịch phái sinh, nhưng chưa hình thành cơ chế đầy đủ về ký quỹ, thanh toán bù trừ tập trung, quản lý dòng tiền và xử lý rủi ro hệ thống.</w:t>
      </w:r>
      <w:r w:rsidR="00551ACA">
        <w:rPr>
          <w:sz w:val="28"/>
          <w:szCs w:val="28"/>
          <w:lang w:eastAsia="vi-VN" w:bidi="vi-VN"/>
        </w:rPr>
        <w:t xml:space="preserve"> </w:t>
      </w:r>
      <w:r w:rsidR="00551ACA" w:rsidRPr="00453E33">
        <w:rPr>
          <w:sz w:val="28"/>
          <w:szCs w:val="28"/>
          <w:lang w:eastAsia="vi-VN" w:bidi="vi-VN"/>
        </w:rPr>
        <w:t>Luật Thuế thu nhập cá nhân số 109/2025/QH15 và Luật Thuế thu nhập doanh nghiệp năm 2025 chưa quy định đầy đủ về thu nhập từ giao dịch hàng hóa phái sinh, cơ chế xác định, bù trừ lãi, lỗ và xử lý các khoản ký quỹ, thanh toán bù trừ. Pháp lệnh Ngoại hối số 07/VBHN-VPQH và Thông tư số 20/2022/TT-NHNN đã điều chỉnh một số hoạt động thanh toán, chuyển tiền liên quan đến giao dịch hàng hóa qua Sở giao dịch hàng hóa ở nước ngoài, nhưng chưa thiết lập cơ chế chuyên biệt cho giao dịch phái sinh hàng hóa xuyên biên giới.</w:t>
      </w:r>
    </w:p>
    <w:p w14:paraId="37AF5F63" w14:textId="4870D163" w:rsidR="00551ACA" w:rsidRPr="00844820" w:rsidRDefault="00551ACA" w:rsidP="00956135">
      <w:pPr>
        <w:pStyle w:val="isselectedend"/>
        <w:widowControl w:val="0"/>
        <w:spacing w:before="120" w:beforeAutospacing="0" w:after="120" w:afterAutospacing="0" w:line="264" w:lineRule="auto"/>
        <w:ind w:firstLine="720"/>
        <w:jc w:val="both"/>
        <w:rPr>
          <w:sz w:val="28"/>
          <w:szCs w:val="28"/>
          <w:lang w:eastAsia="vi-VN" w:bidi="vi-VN"/>
        </w:rPr>
      </w:pPr>
      <w:r w:rsidRPr="00551ACA">
        <w:rPr>
          <w:sz w:val="28"/>
          <w:szCs w:val="28"/>
          <w:lang w:eastAsia="vi-VN" w:bidi="vi-VN"/>
        </w:rPr>
        <w:t>Luật Kế toán năm 2015, được sửa đổi, bổ sung năm 2024, chưa có quy định riêng về hạch toán, ghi nhận và đánh giá đối với giao dịch hàng hóa phái sinh, như ký quỹ, thanh toán bù trừ, vị thế phái sinh và lãi, lỗ phát sinh từ giao dịch.</w:t>
      </w:r>
    </w:p>
    <w:p w14:paraId="26B8B4DF" w14:textId="74D8E2A8" w:rsidR="002702CB" w:rsidRPr="00844820" w:rsidRDefault="002702CB"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 xml:space="preserve">Luật Giao dịch điện tử số 20/2023/QH15, Luật Công nghiệp công nghệ số số 71/2025/QH15, Luật Trí tuệ nhân tạo số 134/2025/QH15, Luật Bảo vệ dữ liệu cá nhân số 91/2025/QH15, Luật An toàn thông tin mạng số 86/2015/QH13, </w:t>
      </w:r>
      <w:r w:rsidR="00666019" w:rsidRPr="00844820">
        <w:rPr>
          <w:sz w:val="28"/>
          <w:szCs w:val="28"/>
          <w:lang w:eastAsia="vi-VN" w:bidi="vi-VN"/>
        </w:rPr>
        <w:t>Luật An ninh mạng số 116/2025/QH15</w:t>
      </w:r>
      <w:r w:rsidR="00666019" w:rsidRPr="00844820">
        <w:rPr>
          <w:sz w:val="28"/>
        </w:rPr>
        <w:t xml:space="preserve"> </w:t>
      </w:r>
      <w:r w:rsidRPr="00844820">
        <w:rPr>
          <w:sz w:val="28"/>
          <w:szCs w:val="28"/>
          <w:lang w:eastAsia="vi-VN" w:bidi="vi-VN"/>
        </w:rPr>
        <w:t>và Luật Phòng, chống rửa tiền số 14/2022/QH15 đã tạo nền tảng pháp lý cho hoạt động giao dịch trên môi trường số, nhưng chưa có quy định đặc thù đối với hệ thống giao dịch hàng hóa phái sinh theo thời gian thực, quản lý dữ liệu giao dịch tập trung và giám sát thị trường trên nền tảng số.</w:t>
      </w:r>
    </w:p>
    <w:p w14:paraId="16FF89E8" w14:textId="7E4955BB" w:rsidR="002702CB" w:rsidRPr="00844820" w:rsidRDefault="002702CB"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Luật Cạnh tranh số 23/2018/QH14, Luật Tòa án chuyên biệt tại Trung tâm tài chính quốc tế số 150/2025/QH15 và Luật Quản lý và đầu tư vốn nhà nước tại doanh nghiệp số 68/2025/QH15 đã tạo cơ sở pháp lý chung cho hoạt động thị trường, nhưng chưa có cơ chế chuyên biệt đối với hành vi thao túng thị trường hàng hóa phái sinh, giải quyết tranh chấp có tính chất kỹ thuật cao và việc tham gia thị trường của doanh nghiệp nhà nước.</w:t>
      </w:r>
    </w:p>
    <w:p w14:paraId="5536E17F" w14:textId="77777777" w:rsidR="00077243" w:rsidRPr="00844820" w:rsidRDefault="00077243"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Tuy nhiên, các quy định này hiện còn phân tán ở nhiều văn bản khác nhau, chủ yếu ở cấp dưới luật và chưa hình thành được một khuôn khổ pháp lý thống nhất để điều chỉnh toàn diện thị trường giao dịch hàng hóa phái sinh. Nhiều nội dung quan trọng của thị trường phái sinh hiện đại hiện chưa được quy định đầy đủ hoặc chưa phù hợp với thông lệ quốc tế, như: cơ chế thanh toán bù trừ trung tâm, cơ chế ký quỹ và quản trị rủi ro, giám sát giao dịch theo thời gian thực, quản lý giao dịch xuyên biên giới, liên thông với Sở giao dịch hàng hóa nước ngoài và cơ chế phòng, chống thao túng thị trường.</w:t>
      </w:r>
    </w:p>
    <w:p w14:paraId="3575B8FA" w14:textId="77777777" w:rsidR="00077243" w:rsidRPr="00844820" w:rsidRDefault="00077243"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Đặc biệt, đối với các giao dịch có yếu tố nước ngoài và giao dịch điện tử theo thời gian thực, pháp luật hiện hành vẫn chưa có quy định đầy đủ để quản lý và kiểm soát rủi ro một cách hiệu quả. Bên cạnh đó, việc các quy định liên quan đang nằm rải rác trong nhiều lĩnh vực pháp luật khác nhau cũng gây khó khăn trong quá trình áp dụng pháp luật và phối hợp quản lý nhà nước.</w:t>
      </w:r>
    </w:p>
    <w:p w14:paraId="080E9451" w14:textId="5956D9E3" w:rsidR="00722290" w:rsidRPr="00844820" w:rsidRDefault="002702CB" w:rsidP="00956135">
      <w:pPr>
        <w:pStyle w:val="isselectedend"/>
        <w:widowControl w:val="0"/>
        <w:spacing w:before="120" w:beforeAutospacing="0" w:after="120" w:afterAutospacing="0" w:line="264" w:lineRule="auto"/>
        <w:ind w:firstLine="720"/>
        <w:jc w:val="both"/>
        <w:rPr>
          <w:sz w:val="28"/>
          <w:szCs w:val="28"/>
          <w:lang w:eastAsia="vi-VN" w:bidi="vi-VN"/>
        </w:rPr>
      </w:pPr>
      <w:r w:rsidRPr="00844820">
        <w:rPr>
          <w:sz w:val="28"/>
          <w:szCs w:val="28"/>
          <w:lang w:eastAsia="vi-VN" w:bidi="vi-VN"/>
        </w:rPr>
        <w:t xml:space="preserve">Như vậy, hệ thống pháp luật hiện hành mới điều chỉnh từng khía cạnh riêng lẻ của hoạt động giao dịch hàng hóa phái sinh, trong khi nhiều nội dung cốt lõi của thị trường phái sinh hiện đại như sản phẩm giao dịch, thanh toán bù trừ trung tâm, quản trị rủi ro, quản lý dữ liệu, giám sát giao dịch và giao dịch xuyên biên giới chưa được quy định đầy đủ hoặc chưa phù hợp với thông lệ quốc tế. </w:t>
      </w:r>
      <w:r w:rsidR="00722290" w:rsidRPr="00844820">
        <w:rPr>
          <w:sz w:val="28"/>
          <w:szCs w:val="28"/>
          <w:lang w:eastAsia="vi-VN" w:bidi="vi-VN"/>
        </w:rPr>
        <w:t>Những hạn chế nêu trên đang ảnh hưởng đến quá trình phát triển thị trường theo hướng minh bạch, an toàn, hiện đại và hội nhập quốc tế; đồng thời hạn chế khả năng doanh nghiệp tiếp cận và sử dụng các công cụ phái sinh để phòng ngừa rủi ro giá. Do đó, việc xây dựng Luật Giao dịch hàng hóa phái sinh là cần thiết nhằm tạo khuôn khổ pháp lý thống nhất, đầy đủ và đồng bộ cho hoạt động giao dịch hàng hóa phái sinh tại Việt Nam.</w:t>
      </w:r>
    </w:p>
    <w:p w14:paraId="0DA21F64" w14:textId="4FA3AC91" w:rsidR="00D341CC" w:rsidRPr="00844820" w:rsidRDefault="00722290" w:rsidP="00956135">
      <w:pPr>
        <w:pStyle w:val="NormalWeb"/>
        <w:widowControl w:val="0"/>
        <w:spacing w:before="120" w:beforeAutospacing="0" w:after="120" w:afterAutospacing="0" w:line="264" w:lineRule="auto"/>
        <w:ind w:firstLine="720"/>
        <w:jc w:val="both"/>
        <w:rPr>
          <w:i/>
          <w:sz w:val="28"/>
          <w:szCs w:val="28"/>
        </w:rPr>
      </w:pPr>
      <w:r w:rsidRPr="00844820">
        <w:rPr>
          <w:i/>
          <w:sz w:val="28"/>
          <w:szCs w:val="28"/>
          <w:lang w:eastAsia="vi-VN" w:bidi="vi-VN"/>
        </w:rPr>
        <w:t>(Chi tiết tại Báo cáo rà soát các chủ trương, đường lối của Đảng, văn bản quy phạm pháp luật, điều ước quốc tế có liên quan đến dự thảo Luật Giao dịch hàng hóa phái sinh).</w:t>
      </w:r>
    </w:p>
    <w:p w14:paraId="5B659598" w14:textId="6E15B893" w:rsidR="00A54548" w:rsidRPr="00844820" w:rsidRDefault="00D341CC" w:rsidP="00956135">
      <w:pPr>
        <w:pStyle w:val="NormalWeb"/>
        <w:widowControl w:val="0"/>
        <w:tabs>
          <w:tab w:val="left" w:pos="993"/>
        </w:tabs>
        <w:spacing w:before="120" w:beforeAutospacing="0" w:after="120" w:afterAutospacing="0" w:line="264" w:lineRule="auto"/>
        <w:ind w:firstLine="720"/>
        <w:jc w:val="both"/>
        <w:rPr>
          <w:rFonts w:eastAsia="Yu Gothic"/>
          <w:b/>
          <w:bCs/>
          <w:sz w:val="28"/>
          <w:szCs w:val="28"/>
        </w:rPr>
      </w:pPr>
      <w:r w:rsidRPr="00844820">
        <w:rPr>
          <w:b/>
          <w:sz w:val="28"/>
          <w:szCs w:val="28"/>
        </w:rPr>
        <w:t xml:space="preserve"> </w:t>
      </w:r>
      <w:r w:rsidR="009C7971" w:rsidRPr="00844820">
        <w:rPr>
          <w:b/>
          <w:sz w:val="28"/>
          <w:szCs w:val="28"/>
        </w:rPr>
        <w:t>2</w:t>
      </w:r>
      <w:r w:rsidR="00A54548" w:rsidRPr="00844820">
        <w:rPr>
          <w:rFonts w:eastAsia="Yu Gothic"/>
          <w:b/>
          <w:bCs/>
          <w:sz w:val="28"/>
          <w:szCs w:val="28"/>
        </w:rPr>
        <w:t xml:space="preserve">. Cơ sở thực tiễn </w:t>
      </w:r>
    </w:p>
    <w:p w14:paraId="40959B30" w14:textId="77777777" w:rsidR="00083671" w:rsidRPr="00844820" w:rsidRDefault="00083671" w:rsidP="00956135">
      <w:pPr>
        <w:widowControl w:val="0"/>
        <w:spacing w:before="120" w:after="120" w:line="264" w:lineRule="auto"/>
        <w:rPr>
          <w:b/>
          <w:i/>
          <w:spacing w:val="-4"/>
          <w:sz w:val="28"/>
          <w:szCs w:val="28"/>
        </w:rPr>
      </w:pPr>
      <w:r w:rsidRPr="00844820">
        <w:rPr>
          <w:rFonts w:eastAsia="Yu Gothic"/>
          <w:i/>
          <w:sz w:val="28"/>
          <w:szCs w:val="28"/>
        </w:rPr>
        <w:t xml:space="preserve">- </w:t>
      </w:r>
      <w:r w:rsidRPr="00844820">
        <w:rPr>
          <w:b/>
          <w:i/>
          <w:spacing w:val="-4"/>
          <w:sz w:val="28"/>
          <w:szCs w:val="28"/>
        </w:rPr>
        <w:t>Về yêu cầu phát triển thị trường hàng hóa và thương mại xuất nhập khẩu của Việt Nam</w:t>
      </w:r>
    </w:p>
    <w:p w14:paraId="466F65E4" w14:textId="77777777" w:rsidR="00083671" w:rsidRPr="00844820" w:rsidRDefault="00083671" w:rsidP="00956135">
      <w:pPr>
        <w:widowControl w:val="0"/>
        <w:spacing w:before="120" w:after="120" w:line="264" w:lineRule="auto"/>
        <w:rPr>
          <w:bCs/>
          <w:spacing w:val="-4"/>
          <w:sz w:val="28"/>
          <w:szCs w:val="28"/>
        </w:rPr>
      </w:pPr>
      <w:r w:rsidRPr="00844820">
        <w:rPr>
          <w:bCs/>
          <w:spacing w:val="-4"/>
          <w:sz w:val="28"/>
          <w:szCs w:val="28"/>
        </w:rPr>
        <w:t>Việt Nam là nền kinh tế có độ mở lớn, với tổng kim ngạch xuất nhập khẩu thuộc nhóm cao trên thế giới và nhiều ngành hàng giữ vị trí quan trọng trong chuỗi cung ứng toàn cầu như gạo, cà phê, hồ tiêu, cao su, điều, thủy sản, dệt may, năng lượng và các nguyên liệu đầu vào phục vụ sản xuất. Trong bối cảnh hội nhập kinh tế quốc tế ngày càng sâu rộng và yêu cầu thực hiện các mục tiêu tăng trưởng kinh tế cao trong giai đoạn phát triển mới, việc nâng cao năng lực cạnh tranh của thị trường hàng hóa, thúc đẩy thương mại và xuất nhập khẩu, đồng thời tăng cường khả năng ứng phó với các biến động của thị trường thế giới đang trở thành yêu cầu cấp thiết. Thực tiễn cho thấy, mặc dù Việt Nam là quốc gia sản xuất và xuất khẩu nhiều mặt hàng có sản lượng và thị phần lớn trên thế giới, nhưng khả năng tham gia vào quá trình hình thành giá hàng hóa quốc tế còn hạn chế</w:t>
      </w:r>
      <w:r w:rsidRPr="00844820">
        <w:rPr>
          <w:rStyle w:val="FootnoteReference"/>
          <w:bCs/>
          <w:spacing w:val="-4"/>
          <w:sz w:val="28"/>
          <w:szCs w:val="28"/>
        </w:rPr>
        <w:footnoteReference w:id="1"/>
      </w:r>
      <w:r w:rsidRPr="00844820">
        <w:rPr>
          <w:bCs/>
          <w:spacing w:val="-4"/>
          <w:sz w:val="28"/>
          <w:szCs w:val="28"/>
        </w:rPr>
        <w:t>; doanh nghiệp trong nước vẫn chủ yếu sử dụng giá tham chiếu từ các sở giao dịch nước ngoài, chịu tác động lớn từ biến động giá quốc tế và chưa có công cụ đầy đủ để quản trị rủi ro trong hoạt động sản xuất, kinh doanh và xuất nhập khẩu.</w:t>
      </w:r>
    </w:p>
    <w:p w14:paraId="3AA4B36C" w14:textId="77777777" w:rsidR="00083671" w:rsidRPr="00844820" w:rsidRDefault="00083671" w:rsidP="00956135">
      <w:pPr>
        <w:widowControl w:val="0"/>
        <w:spacing w:before="120" w:after="120" w:line="264" w:lineRule="auto"/>
        <w:rPr>
          <w:bCs/>
          <w:spacing w:val="-4"/>
          <w:sz w:val="28"/>
          <w:szCs w:val="28"/>
        </w:rPr>
      </w:pPr>
      <w:r w:rsidRPr="00844820">
        <w:rPr>
          <w:bCs/>
          <w:spacing w:val="-4"/>
          <w:sz w:val="28"/>
          <w:szCs w:val="28"/>
        </w:rPr>
        <w:t xml:space="preserve">Trong điều kiện đó, việc xây dựng Luật Giao dịch hàng hóa phái sinh nhằm tạo lập khuôn khổ pháp lý cho sự phát triển đồng bộ của thị trường hàng hóa hiện đại, minh bạch và hội nhập quốc tế; thúc đẩy quá trình chuẩn hóa hàng hóa, tiêu chuẩn chất lượng, phương thức giao nhận, cơ chế lưu thông và hình thành giá theo tín hiệu thị trường. Thông qua hoạt động của Sở giao dịch hàng hóa, doanh nghiệp có thêm công cụ quản trị rủi ro đối với biến động giá nguyên liệu, hàng hóa, nâng cao khả năng lập kế hoạch sản xuất, kinh doanh, ký kết hợp đồng thương mại dài hạn và mở rộng thị trường xuất khẩu. Đồng thời, thị trường giao dịch hàng hóa phái sinh còn góp phần </w:t>
      </w:r>
      <w:r w:rsidRPr="00844820">
        <w:rPr>
          <w:b/>
          <w:i/>
          <w:iCs/>
          <w:spacing w:val="-4"/>
          <w:sz w:val="28"/>
          <w:szCs w:val="28"/>
        </w:rPr>
        <w:t>hình thành các mức giá tham chiếu công khai, minh bạch</w:t>
      </w:r>
      <w:r w:rsidRPr="00844820">
        <w:rPr>
          <w:bCs/>
          <w:spacing w:val="-4"/>
          <w:sz w:val="28"/>
          <w:szCs w:val="28"/>
        </w:rPr>
        <w:t xml:space="preserve"> cho các nhóm hàng hóa quan trọng, khắc phục tình trạng giao dịch phân tán, thiếu thông tin, tăng cường tính minh bạch của thị trường và hỗ trợ hiệu quả cho công tác quản lý, điều hành của Nhà nước.</w:t>
      </w:r>
    </w:p>
    <w:p w14:paraId="5B83F6AC" w14:textId="77777777" w:rsidR="00083671" w:rsidRPr="00844820" w:rsidRDefault="00083671" w:rsidP="00956135">
      <w:pPr>
        <w:widowControl w:val="0"/>
        <w:spacing w:before="120" w:after="120" w:line="264" w:lineRule="auto"/>
        <w:rPr>
          <w:b/>
          <w:i/>
          <w:iCs/>
          <w:spacing w:val="-6"/>
          <w:sz w:val="28"/>
          <w:szCs w:val="28"/>
        </w:rPr>
      </w:pPr>
      <w:r w:rsidRPr="00844820">
        <w:rPr>
          <w:bCs/>
          <w:spacing w:val="-6"/>
          <w:sz w:val="28"/>
          <w:szCs w:val="28"/>
        </w:rPr>
        <w:t>Kinh nghiệm quốc tế cho thấy nhiều quốc gia đã phát triển sở giao dịch hàng hóa như một công cụ thực hiện chiến lược phát triển ngành hàng và nâng cao vị thế quốc gia trong chuỗi giá trị toàn cầu. Điển hình, Malaysia đã xây dựng thành công thị trường giao dịch dầu cọ</w:t>
      </w:r>
      <w:r w:rsidRPr="00844820">
        <w:rPr>
          <w:rStyle w:val="FootnoteReference"/>
          <w:bCs/>
          <w:spacing w:val="-6"/>
          <w:sz w:val="28"/>
          <w:szCs w:val="28"/>
        </w:rPr>
        <w:footnoteReference w:id="2"/>
      </w:r>
      <w:r w:rsidRPr="00844820">
        <w:rPr>
          <w:bCs/>
          <w:spacing w:val="-6"/>
          <w:sz w:val="28"/>
          <w:szCs w:val="28"/>
        </w:rPr>
        <w:t xml:space="preserve">, qua đó hình thành mức giá tham chiếu được sử dụng rộng rãi trên thị trường quốc tế, góp phần củng cố vai trò dẫn dắt của nước này đối với ngành dầu cọ thế giới. Đối với Việt Nam, việc xây dựng Luật sẽ tạo cơ sở pháp lý để từng bước </w:t>
      </w:r>
      <w:r w:rsidRPr="00844820">
        <w:rPr>
          <w:b/>
          <w:i/>
          <w:iCs/>
          <w:spacing w:val="-6"/>
          <w:sz w:val="28"/>
          <w:szCs w:val="28"/>
        </w:rPr>
        <w:t>phát triển các sản phẩm giao dịch đối với những mặt hàng có thế mạnh như gạo, cà phê, hồ tiêu, cao su, điều, năng lượng và các nguyên liệu quan trọng khác; qua đó nâng cao khả năng tham gia vào quá trình xác lập giá hàng hóa trong khu vực và trên thế giới, giảm phụ thuộc vào các Sở giao dịch nước ngoài, nâng cao giá trị gia tăng của hàng hóa Việt Nam và tăng cường năng lực cạnh tranh của doanh nghiệp trong hoạt động thương mại, xuất nhập khẩu.</w:t>
      </w:r>
    </w:p>
    <w:p w14:paraId="709B066A" w14:textId="77777777" w:rsidR="00083671" w:rsidRPr="00844820" w:rsidRDefault="00083671" w:rsidP="00956135">
      <w:pPr>
        <w:widowControl w:val="0"/>
        <w:spacing w:before="120" w:after="120" w:line="264" w:lineRule="auto"/>
        <w:rPr>
          <w:bCs/>
          <w:spacing w:val="-6"/>
          <w:sz w:val="28"/>
          <w:szCs w:val="28"/>
        </w:rPr>
      </w:pPr>
      <w:r w:rsidRPr="00844820">
        <w:rPr>
          <w:bCs/>
          <w:spacing w:val="-6"/>
          <w:sz w:val="28"/>
          <w:szCs w:val="28"/>
        </w:rPr>
        <w:t>Bên cạnh đó, đối với các mặt hàng chiến lược như năng lượng, xăng dầu, khí, điện, kim loại và các nguyên liệu đầu vào thiết yếu của nền kinh tế, việc phát triển thị trường giao dịch hàng hóa phái sinh còn tạo điều kiện để doanh nghiệp, bao gồm cả doanh nghiệp nhà nước, chủ động thực hiện các biện pháp bảo hiểm giá</w:t>
      </w:r>
      <w:r w:rsidRPr="00844820">
        <w:rPr>
          <w:rStyle w:val="FootnoteReference"/>
          <w:bCs/>
          <w:spacing w:val="-6"/>
          <w:sz w:val="28"/>
          <w:szCs w:val="28"/>
        </w:rPr>
        <w:footnoteReference w:id="3"/>
      </w:r>
      <w:r w:rsidRPr="00844820">
        <w:rPr>
          <w:bCs/>
          <w:spacing w:val="-6"/>
          <w:sz w:val="28"/>
          <w:szCs w:val="28"/>
        </w:rPr>
        <w:t>, hạn chế tác động bất lợi từ các cú sốc của thị trường quốc tế, góp phần bảo đảm an ninh năng lượng, an ninh nguyên liệu, ổn định hoạt động sản xuất kinh doanh và nâng cao hiệu quả điều hành kinh tế vĩ mô. Vì vậy, việc xây dựng Luật Giao dịch hàng hóa phái sinh không chỉ nhằm hoàn thiện khuôn khổ pháp lý cho một phương thức giao dịch hiện đại mà còn là giải pháp quan trọng để phát triển thị trường hàng hóa quốc gia, thúc đẩy thương mại và xuất nhập khẩu, nâng cao năng lực định giá hàng hóa của Việt Nam, hỗ trợ thực hiện các mục tiêu phát triển kinh tế - xã hội và tạo động lực mới cho tăng trưởng nhanh, bền vững trong giai đoạn tới.</w:t>
      </w:r>
    </w:p>
    <w:p w14:paraId="11EB2F63" w14:textId="77777777" w:rsidR="00083671" w:rsidRPr="00844820" w:rsidRDefault="00083671" w:rsidP="00956135">
      <w:pPr>
        <w:widowControl w:val="0"/>
        <w:spacing w:before="120" w:after="120" w:line="264" w:lineRule="auto"/>
        <w:rPr>
          <w:b/>
          <w:i/>
          <w:sz w:val="28"/>
          <w:szCs w:val="28"/>
        </w:rPr>
      </w:pPr>
      <w:r w:rsidRPr="00844820">
        <w:rPr>
          <w:rFonts w:eastAsia="Yu Gothic"/>
          <w:i/>
          <w:sz w:val="28"/>
          <w:szCs w:val="28"/>
        </w:rPr>
        <w:t xml:space="preserve">- </w:t>
      </w:r>
      <w:r w:rsidRPr="00844820">
        <w:rPr>
          <w:b/>
          <w:i/>
          <w:sz w:val="28"/>
          <w:szCs w:val="28"/>
        </w:rPr>
        <w:t>Xuất phát từ nhu cầu phòng ngừa rủi ro biến động giá hàng hóa của doanh nghiệp</w:t>
      </w:r>
    </w:p>
    <w:p w14:paraId="0685A0DD" w14:textId="77777777" w:rsidR="00083671" w:rsidRPr="00844820" w:rsidRDefault="00083671" w:rsidP="00956135">
      <w:pPr>
        <w:widowControl w:val="0"/>
        <w:spacing w:before="120" w:after="120" w:line="264" w:lineRule="auto"/>
        <w:rPr>
          <w:b/>
          <w:spacing w:val="-4"/>
          <w:sz w:val="28"/>
          <w:szCs w:val="28"/>
        </w:rPr>
      </w:pPr>
      <w:r w:rsidRPr="00844820">
        <w:rPr>
          <w:bCs/>
          <w:spacing w:val="-4"/>
          <w:sz w:val="28"/>
          <w:szCs w:val="28"/>
        </w:rPr>
        <w:t>Trong bối cảnh hội nhập kinh tế quốc tế sâu rộng, giá nhiều loại hàng hóa quan trọng như năng lượng, kim loại, nông sản và nguyên liệu đầu vào liên tục biến động mạnh do tác động của các yếu tố địa chính trị, đứt gãy chuỗi cung ứng, biến đổi khí hậu và thay đổi chính sách thương mại toàn cầu. Các biến động này ảnh hưởng trực tiếp đến hoạt động sản xuất, kinh doanh, xuất nhập khẩu của doanh nghiệp, đồng thời gây áp lực đối với công tác điều hành kinh tế vĩ mô.</w:t>
      </w:r>
    </w:p>
    <w:p w14:paraId="4F790517" w14:textId="77777777" w:rsidR="00083671" w:rsidRPr="00844820" w:rsidRDefault="00083671" w:rsidP="00956135">
      <w:pPr>
        <w:widowControl w:val="0"/>
        <w:spacing w:before="120" w:after="120" w:line="264" w:lineRule="auto"/>
        <w:rPr>
          <w:b/>
          <w:spacing w:val="-4"/>
          <w:sz w:val="28"/>
          <w:szCs w:val="28"/>
        </w:rPr>
      </w:pPr>
      <w:r w:rsidRPr="00844820">
        <w:rPr>
          <w:bCs/>
          <w:spacing w:val="-4"/>
          <w:sz w:val="28"/>
          <w:szCs w:val="28"/>
        </w:rPr>
        <w:t>Thực tiễn thời gian qua cho thấy nhu cầu sử dụng các công cụ phòng ngừa rủi ro giá ngày càng lớn, đặc biệt đối với các doanh nghiệp hoạt động trong lĩnh vực năng lượng, xăng dầu, khí, điện, sản xuất công nghiệp và xuất nhập khẩu. Nhiều doanh nghiệp lớn như PVN, Petrolimex, PVGas, EVN cùng các doanh nghiệp chế biến, xuất khẩu hàng hóa đã kiến nghị sớm hoàn thiện khung khổ pháp lý để triển khai các hoạt động bảo hiểm giá, ổn định chi phí đầu vào, nâng cao khả năng dự báo và chủ động xây dựng kế hoạch sản xuất, kinh doanh trong điều kiện thị trường biến động mạnh.</w:t>
      </w:r>
    </w:p>
    <w:p w14:paraId="70C53625" w14:textId="77777777" w:rsidR="00083671" w:rsidRPr="00844820" w:rsidRDefault="00083671" w:rsidP="00956135">
      <w:pPr>
        <w:widowControl w:val="0"/>
        <w:spacing w:before="120" w:after="120" w:line="264" w:lineRule="auto"/>
        <w:rPr>
          <w:b/>
          <w:spacing w:val="-4"/>
          <w:sz w:val="28"/>
          <w:szCs w:val="28"/>
        </w:rPr>
      </w:pPr>
      <w:r w:rsidRPr="00844820">
        <w:rPr>
          <w:bCs/>
          <w:spacing w:val="-4"/>
          <w:sz w:val="28"/>
          <w:szCs w:val="28"/>
        </w:rPr>
        <w:t>Bên cạnh nhu cầu quản trị rủi ro, thực tiễn phát triển thị trường cũng đặt ra yêu cầu tăng cường tính công khai, minh bạch trong quá trình hình thành giá hàng hóa. Hiện nay, nhiều loại hàng hóa vẫn được giao dịch phân tán, thiếu cơ chế giao dịch tập trung và giá tham chiếu minh bạch, làm hạn chế khả năng dự báo thị trường, gia tăng rủi ro cho doanh nghiệp và ảnh hưởng đến hiệu quả quản lý nhà nước. Việc phát triển thị trường giao dịch hàng hóa phái sinh sẽ góp phần hình thành giá theo tín hiệu thị trường, nâng cao tính minh bạch, hỗ trợ lưu thông hàng hóa và nâng cao hiệu quả điều hành kinh tế vĩ mô.</w:t>
      </w:r>
    </w:p>
    <w:p w14:paraId="58BB0DC5" w14:textId="77777777" w:rsidR="00083671" w:rsidRPr="00844820" w:rsidRDefault="00083671" w:rsidP="00956135">
      <w:pPr>
        <w:widowControl w:val="0"/>
        <w:spacing w:before="120" w:after="120" w:line="264" w:lineRule="auto"/>
        <w:rPr>
          <w:b/>
          <w:spacing w:val="-4"/>
          <w:sz w:val="28"/>
          <w:szCs w:val="28"/>
        </w:rPr>
      </w:pPr>
      <w:r w:rsidRPr="00844820">
        <w:rPr>
          <w:bCs/>
          <w:spacing w:val="-4"/>
          <w:sz w:val="28"/>
          <w:szCs w:val="28"/>
        </w:rPr>
        <w:t>Đồng thời, thực tiễn cũng đặt ra yêu cầu hoàn thiện cơ sở pháp lý đối với hoạt động giao dịch hàng hóa phái sinh, đặc biệt đối với các doanh nghiệp nhà nước hoạt động trong các lĩnh vực trọng yếu của nền kinh tế. Việc tham gia giao dịch phái sinh nhằm mục đích phòng ngừa rủi ro giá, bảo đảm an ninh năng lượng và ổn định hoạt động sản xuất, kinh doanh cần được xác lập trên cơ sở pháp lý rõ ràng, minh bạch và phù hợp với thông lệ quốc tế.</w:t>
      </w:r>
    </w:p>
    <w:p w14:paraId="1B0C20CD" w14:textId="77777777" w:rsidR="00083671" w:rsidRPr="00844820" w:rsidRDefault="00083671" w:rsidP="00956135">
      <w:pPr>
        <w:widowControl w:val="0"/>
        <w:spacing w:before="120" w:after="120" w:line="264" w:lineRule="auto"/>
        <w:rPr>
          <w:bCs/>
          <w:spacing w:val="-4"/>
          <w:sz w:val="28"/>
          <w:szCs w:val="28"/>
        </w:rPr>
      </w:pPr>
      <w:r w:rsidRPr="00844820">
        <w:rPr>
          <w:bCs/>
          <w:spacing w:val="-4"/>
          <w:sz w:val="28"/>
          <w:szCs w:val="28"/>
        </w:rPr>
        <w:t>Từ những yêu cầu thực tiễn nêu trên, việc xây dựng Luật Giao dịch hàng hóa phái sinh là cần thiết nhằm tạo lập khuôn khổ pháp lý đầy đủ cho sự phát triển của thị trường hàng hóa hiện đại, minh bạch và hội nhập quốc tế; hỗ trợ doanh nghiệp quản trị rủi ro, nâng cao năng lực cạnh tranh, tăng cường tính minh bạch của thị trường và góp phần bảo đảm ổn định kinh tế vĩ mô.</w:t>
      </w:r>
    </w:p>
    <w:p w14:paraId="3B5310F8"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b/>
          <w:bCs/>
          <w:i/>
          <w:kern w:val="28"/>
          <w:sz w:val="28"/>
          <w:szCs w:val="28"/>
        </w:rPr>
      </w:pPr>
      <w:bookmarkStart w:id="1" w:name="_Hlk232655033"/>
      <w:r w:rsidRPr="00844820">
        <w:rPr>
          <w:rFonts w:eastAsia="Yu Gothic"/>
          <w:b/>
          <w:bCs/>
          <w:i/>
          <w:kern w:val="28"/>
          <w:sz w:val="28"/>
          <w:szCs w:val="28"/>
        </w:rPr>
        <w:t xml:space="preserve">- </w:t>
      </w:r>
      <w:r w:rsidRPr="00844820">
        <w:rPr>
          <w:rFonts w:eastAsia="Yu Gothic"/>
          <w:b/>
          <w:bCs/>
          <w:i/>
          <w:sz w:val="28"/>
          <w:szCs w:val="28"/>
        </w:rPr>
        <w:t>Thực tiễn phát triển của thị trường giao dịch hàng hóa phái sinh tại Việt Nam đặt ra yêu cầu hoàn thiện thể chế</w:t>
      </w:r>
    </w:p>
    <w:p w14:paraId="7CBED248"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Sau hơn 20 năm kể từ khi Luật Thương mại năm 2005 có hiệu lực, thị trường giao dịch hàng hóa phái sinh tại Việt Nam đã từng bước hình thành và phát triển với hai cấu phần chủ yếu gồm thị trường giao dịch tập trung qua Sở giao dịch hàng hóa và hoạt động cung ứng các sản phẩm phái sinh giá cả hàng hóa thông qua hệ thống ngân hàng thương mại.</w:t>
      </w:r>
    </w:p>
    <w:p w14:paraId="3F960C57" w14:textId="44ABBDB4"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Đối với thị trường giao dịch tập trung, Sở Giao dịch hàng hóa Việt Nam (MXV) đã ghi nhận sự tăng trưởng đáng kể về quy mô hoạt động. Khối lượng giao dịch tăng từ khoảng 58,9 nghìn hợp đồng năm 2019 lên hơn 1,14 triệu hợp đồng năm 2024 và đạt khoảng 1,54 triệu hợp đồng trong năm 2025; giá trị giao dịch danh nghĩa bình quân đạt khoảng 7.500 tỷ đồng/ngày. Danh mục sản phẩm giao dịch được mở rộng lên khoảng 38 mặt hàng với hơn 40 loại hợp đồng thuộc các nhóm năng lượng, kim loại và nông sản; số lượng thành viên thị trường tăng lên khoảng 30</w:t>
      </w:r>
      <w:r w:rsidR="007C2723" w:rsidRPr="00844820">
        <w:rPr>
          <w:rFonts w:eastAsia="Yu Gothic"/>
          <w:sz w:val="28"/>
          <w:szCs w:val="28"/>
        </w:rPr>
        <w:t>-</w:t>
      </w:r>
      <w:r w:rsidRPr="00844820">
        <w:rPr>
          <w:rFonts w:eastAsia="Yu Gothic"/>
          <w:sz w:val="28"/>
          <w:szCs w:val="28"/>
        </w:rPr>
        <w:t>34 đơn vị. Bên cạnh hoạt động giao dịch hàng hóa phái sinh tập trung, thị trường cung ứng các sản phẩm phái sinh giá hàng hóa theo quy định tại Thông tư số 40/2016/TT-NHNN ngày 30/12/2016 của Ngân hàng Nhà nước Việt Nam cũng từng bước phát triển. Hiện nay, đã có 16 ngân hàng thương mại và chi nhánh ngân hàng nước ngoài được phép cung cấp các sản phẩm phái sinh giá hàng hóa, góp phần đáp ứng nhu cầu phòng ngừa rủi ro biến động giá của doanh nghiệp</w:t>
      </w:r>
      <w:r w:rsidRPr="00844820">
        <w:rPr>
          <w:rStyle w:val="FootnoteReference"/>
          <w:rFonts w:eastAsia="Yu Gothic"/>
          <w:sz w:val="28"/>
          <w:szCs w:val="28"/>
        </w:rPr>
        <w:footnoteReference w:id="4"/>
      </w:r>
      <w:r w:rsidRPr="00844820">
        <w:rPr>
          <w:rFonts w:eastAsia="Yu Gothic"/>
          <w:sz w:val="28"/>
          <w:szCs w:val="28"/>
        </w:rPr>
        <w:t>.</w:t>
      </w:r>
    </w:p>
    <w:p w14:paraId="7A644CEE"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Tuy nhiên, xét trên tổng thể, thị trường giao dịch hàng hóa phái sinh tại Việt Nam vẫn đang ở giai đoạn phát triển ban đầu. Quy mô thị trường còn nhỏ so với nhu cầu của nền kinh tế; thanh khoản còn thấp; cơ cấu nhà đầu tư chưa hợp lý khi đối tượng tham gia giao dịch qua Sở giao dịch hàng hóa chủ yếu là nhà đầu tư cá nhân, trong khi mức độ tham gia của các doanh nghiệp sản xuất, kinh doanh với mục đích phòng ngừa rủi ro còn hạn chế. Các sản phẩm giao dịch hiện nay phần lớn được thực hiện trên cơ sở liên thông với các Sở giao dịch hàng hóa nước ngoài, dẫn đến sự phụ thuộc đáng kể vào giá tham chiếu và thanh khoản từ thị trường quốc tế. Việt Nam hiện vẫn chưa hình thành được các sản phẩm phái sinh gắn với các mặt hàng có thế mạnh trong nước cũng như chưa xây dựng được cơ chế hình thành giá tham chiếu nội địa có độ tin cậy cao.</w:t>
      </w:r>
    </w:p>
    <w:p w14:paraId="74E832CE"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Bên cạnh đó, hạ tầng thị trường chưa được phát triển đồng bộ. Các thiết chế quan trọng của thị trường phái sinh hiện đại như cơ chế thanh toán bù trừ tập trung, đối tác bù trừ trung tâm (CCP), cơ chế quản trị rủi ro tập trung, hệ thống lưu ký, kho bãi và giao nhận hàng hóa vẫn chưa được thiết lập đầy đủ. Đối với hoạt động cung ứng sản phẩm phái sinh thông qua ngân hàng thương mại, các ngân hàng trong nước hiện vẫn phải thực hiện giao dịch đối ứng với các đối tác hoặc Sở giao dịch hàng hóa ở nước ngoài để phòng ngừa rủi ro phát sinh từ các hợp đồng đã ký với khách hàng. Điều này cho thấy khả năng tự chủ của thị trường trong nước còn hạn chế và mức độ phụ thuộc vào thị trường quốc tế còn tương đối lớn.</w:t>
      </w:r>
    </w:p>
    <w:p w14:paraId="0AF1FBDB"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Thực tiễn phát triển nêu trên đặt ra yêu cầu phải xây dựng một khuôn khổ pháp lý đầy đủ, thống nhất và có hiệu lực pháp lý cao nhằm tạo nền tảng cho sự phát triển của thị trường giao dịch hàng hóa phái sinh trong giai đoạn mới.</w:t>
      </w:r>
    </w:p>
    <w:p w14:paraId="0057AD25"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b/>
          <w:bCs/>
          <w:i/>
          <w:sz w:val="28"/>
          <w:szCs w:val="28"/>
        </w:rPr>
      </w:pPr>
      <w:r w:rsidRPr="00844820">
        <w:rPr>
          <w:rFonts w:eastAsia="Yu Gothic"/>
          <w:b/>
          <w:bCs/>
          <w:i/>
          <w:sz w:val="28"/>
          <w:szCs w:val="28"/>
        </w:rPr>
        <w:t>- Hệ thống pháp luật hiện hành chưa đáp ứng yêu cầu phát triển của thị trường và cần được hoàn thiện ở cấp luật</w:t>
      </w:r>
    </w:p>
    <w:p w14:paraId="3E9A1AD7"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Mặc dù đã tạo lập cơ sở pháp lý ban đầu cho hoạt động giao dịch hàng hóa phái sinh, hệ thống pháp luật hiện hành được xây dựng trên nền tảng các quy định của Luật Thương mại năm 2005 và các văn bản hướng dẫn thi hành đã bộc lộ nhiều hạn chế, không còn đáp ứng yêu cầu phát triển của thị trường trong bối cảnh mới.</w:t>
      </w:r>
    </w:p>
    <w:p w14:paraId="39047F00"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 xml:space="preserve">Thực tiễn rà soát, xây dựng Nghị định thay thế Nghị định số 158/2006/NĐ-CP cho thấy nhiều vấn đề cốt lõi của thị trường giao dịch hàng hóa phái sinh vượt quá phạm vi điều chỉnh của nghị định và xuất phát từ những hạn chế của Luật Thương mại năm 2005. Cụ thể, Nghị định số 158/2006/NĐ-CP ngày 28/12/2006 của Chính phủ quy định chi tiết Luật Thương mại về hoạt động mua bán hàng hóa qua Sở giao dịch hàng hóa chỉ có thể điều chỉnh trong khuôn khổ Luật Thương mại năm 2005. Trong khi đó, Luật Thương mại năm 2005 mới dừng ở các quy định mang tính nguyên tắc, chưa bao quát đầy đủ đặc thù và yêu cầu quản lý đối với giao dịch hàng hóa phái sinh. Luật chưa có định nghĩa và phân loại đầy đủ các công cụ phái sinh theo thông lệ quốc tế (hiện mới quy định hợp đồng kỳ hạn và quyền chọn), dẫn đến cách hiểu và áp dụng chưa thống nhất; chưa thiết kế đầy đủ khung pháp lý về tổ chức, hoạt động của Sở giao dịch hàng hóa, thanh toán bù trừ, lưu ký, kho hàng và quản lý rủi ro hệ thống (ký quỹ, hạn mức vị thế, bảo đảm thanh khoản). </w:t>
      </w:r>
    </w:p>
    <w:p w14:paraId="7C890381"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 xml:space="preserve">Bên cạnh đó, nhiều nội dung quan trọng của thị trường chưa được điều chỉnh hoặc điều chỉnh chưa đầy đủ, như cơ chế công bố thông tin, bảo vệ nhà đầu tư, giám sát và xử lý hành vi thao túng thị trường, giao dịch nội gián, phòng chống rửa tiền, quản lý giao dịch xuyên biên giới, hợp tác quốc tế và cơ chế xử lý rủi ro hệ thống. </w:t>
      </w:r>
    </w:p>
    <w:p w14:paraId="2F586A45"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Đặc biệt, pháp luật hiện hành chưa tạo lập được khuôn khổ pháp lý đầy đủ để phát triển các sản phẩm phái sinh gắn với hàng hóa của Việt Nam, hình thành giá tham chiếu trong nước, thúc đẩy chuẩn hóa hàng hóa và hỗ trợ doanh nghiệp thực hiện hoạt động phòng ngừa rủi ro giá. Nhiều vấn đề phát sinh trong thực tiễn như việc tham gia giao dịch phái sinh của doanh nghiệp nhà nước, cơ chế quản lý dòng tiền, ngoại hối, thanh toán xuyên biên giới, liên thông với các Sở giao dịch hàng hóa quốc tế và xử lý rủi ro hệ thống hiện chưa được quy định rõ ràng.</w:t>
      </w:r>
    </w:p>
    <w:p w14:paraId="6DF19D06"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b/>
          <w:bCs/>
          <w:sz w:val="28"/>
          <w:szCs w:val="28"/>
        </w:rPr>
      </w:pPr>
      <w:r w:rsidRPr="00844820">
        <w:rPr>
          <w:rFonts w:eastAsia="Yu Gothic"/>
          <w:sz w:val="28"/>
          <w:szCs w:val="28"/>
        </w:rPr>
        <w:t xml:space="preserve">Quan trọng hơn, các vấn đề nêu trên không còn là các nội dung riêng lẻ thuộc phạm vi điều chỉnh của một văn bản dưới luật. Hoạt động giao dịch hàng hóa phái sinh hiện nay có tính chất liên ngành, liên quan đồng thời đến thương mại, ngân hàng, tài chính, đầu tư, ngoại hối, thanh toán, quản trị rủi ro và giao dịch xuyên biên giới. Do đó, </w:t>
      </w:r>
      <w:r w:rsidRPr="00844820">
        <w:rPr>
          <w:rFonts w:eastAsia="Yu Gothic"/>
          <w:b/>
          <w:bCs/>
          <w:sz w:val="28"/>
          <w:szCs w:val="28"/>
        </w:rPr>
        <w:t>việc sửa đổi, bổ sung đơn lẻ các quy định trong từng văn bản hiện hành sẽ không thể giải quyết đầy đủ các vấn đề mang tính hệ thống của thị trường, đồng thời khó bảo đảm tính thống nhất, đồng bộ của khuôn khổ pháp lý.</w:t>
      </w:r>
    </w:p>
    <w:p w14:paraId="6921E5B7" w14:textId="77777777" w:rsidR="00083671" w:rsidRPr="00844820" w:rsidRDefault="00083671"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Xu hướng quốc tế cho thấy nhiều quốc gia đã xây dựng luật chuyên ngành để điều chỉnh thị trường giao dịch hàng hóa phái sinh nhằm thiết lập cơ chế quản lý thống nhất đối với toàn bộ chuỗi hoạt động từ giao dịch, thanh toán bù trừ, quản trị rủi ro đến giám sát thị trường</w:t>
      </w:r>
      <w:r w:rsidRPr="00844820">
        <w:rPr>
          <w:rStyle w:val="FootnoteReference"/>
          <w:rFonts w:eastAsia="Yu Gothic"/>
          <w:sz w:val="28"/>
          <w:szCs w:val="28"/>
        </w:rPr>
        <w:footnoteReference w:id="5"/>
      </w:r>
      <w:r w:rsidRPr="00844820">
        <w:rPr>
          <w:rFonts w:eastAsia="Yu Gothic"/>
          <w:sz w:val="28"/>
          <w:szCs w:val="28"/>
        </w:rPr>
        <w:t>.</w:t>
      </w:r>
    </w:p>
    <w:bookmarkEnd w:id="1"/>
    <w:p w14:paraId="45C1E0B8" w14:textId="7FCB4571" w:rsidR="00484465" w:rsidRPr="00844820" w:rsidRDefault="00484465"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Từ các căn cứ chính trị, pháp lý và thực tiễn nêu trên cho thấy việc xây dựng Luật Giao dịch hàng hóa phái sinh là yêu cầu khách quan và cấp thiết nhằm tạo lập khuôn khổ pháp lý thống nhất, đồng bộ, có hiệu lực pháp lý cao để điều chỉnh toàn diện thị trường giao dịch hàng hóa phái sinh; góp phần nâng cao năng lực quản trị rủi ro của doanh nghiệp, phát triển thị trường hàng hóa hiện đại, minh bạch, hội nhập quốc tế và phục vụ mục tiêu tăng trưởng nhanh, bền vững của nền kinh tế.</w:t>
      </w:r>
    </w:p>
    <w:p w14:paraId="39A85CBB" w14:textId="75562DF0" w:rsidR="00A0432F" w:rsidRPr="00844820" w:rsidRDefault="00FE59BB" w:rsidP="00956135">
      <w:pPr>
        <w:pStyle w:val="NormalWeb"/>
        <w:widowControl w:val="0"/>
        <w:spacing w:before="120" w:beforeAutospacing="0" w:after="120" w:afterAutospacing="0" w:line="264" w:lineRule="auto"/>
        <w:ind w:firstLine="720"/>
        <w:jc w:val="both"/>
        <w:rPr>
          <w:rFonts w:eastAsia="Yu Gothic"/>
          <w:sz w:val="28"/>
          <w:szCs w:val="28"/>
        </w:rPr>
      </w:pPr>
      <w:r w:rsidRPr="00844820">
        <w:rPr>
          <w:rFonts w:eastAsia="Yu Gothic"/>
          <w:sz w:val="28"/>
          <w:szCs w:val="28"/>
        </w:rPr>
        <w:t>Về tên gọi của dự án Luật, Bộ Công Thương đề xuất sử dụng tên gọi “Luật Giao dịch hàng hóa phái sinh” vì tên gọi này phù hợp với phạm vi điều chỉnh và nội dung chính sách của dự án Luật. Theo đó, đối tượng điều chỉnh của Luật là các quan hệ phát sinh trong quá trình tổ chức và thực hiện giao dịch các công cụ phái sinh có tài sản cơ sở là hàng hóa. Ngoài các quy định về hợp đồng phái sinh, dự thảo Luật còn quy định về tổ chức và vận hành thị trường, Sở giao dịch hàng hóa, Trung tâm thanh toán bù trừ, các chủ thể tham gia thị trường, cơ chế quản trị rủi ro, giám sát và quản lý nhà nước nhằm bảo đảm cho hoạt động giao dịch hàng hóa phái sinh được vận hành an toàn, thông suốt. Các nội dung này có mối quan hệ chặt chẽ, gắn bó hữu cơ và đều phục vụ trực tiếp cho hoạt động giao dịch hàng hóa phái sinh. Bên cạnh đó, thuật ngữ “hàng hóa phái sinh” hiện chưa có nội hàm pháp lý thống nhất, trong khi trọng tâm điều chỉnh của dự án Luật là hoạt động giao dịch và hạ tầng phục vụ giao dịch các công cụ phái sinh có tài sản cơ sở là hàng hóa. Đồng thời, cách tiếp cận lấy hoạt động giao dịch làm trung tâm điều chỉnh cũng tương đồng với thông lệ quốc tế và phù hợp với kỹ thuật lập pháp hiện hành. Vì vậy, tên gọi “Luật Giao dịch hàng hóa phái sinh” được đánh giá là phản ánh phù hợp hơn đối tượng điều chỉnh, nội dung trọng tâm và phạm vi điều chỉnh của dự án Luật theo quy định tại Điều 61 Nghị định số 78/2025/NĐ-CP.</w:t>
      </w:r>
    </w:p>
    <w:p w14:paraId="536F195C" w14:textId="0810039B" w:rsidR="00F87A87" w:rsidRPr="00844820" w:rsidRDefault="00F87A87" w:rsidP="00956135">
      <w:pPr>
        <w:widowControl w:val="0"/>
        <w:tabs>
          <w:tab w:val="right" w:leader="dot" w:pos="7920"/>
        </w:tabs>
        <w:spacing w:before="120" w:after="120" w:line="264" w:lineRule="auto"/>
        <w:rPr>
          <w:b/>
          <w:spacing w:val="-4"/>
          <w:sz w:val="28"/>
          <w:szCs w:val="28"/>
        </w:rPr>
      </w:pPr>
      <w:r w:rsidRPr="00844820">
        <w:rPr>
          <w:b/>
          <w:spacing w:val="-4"/>
          <w:sz w:val="28"/>
          <w:szCs w:val="28"/>
          <w:lang w:val="vi-VN"/>
        </w:rPr>
        <w:t>II. MỤC ĐÍCH</w:t>
      </w:r>
      <w:r w:rsidR="00FA6018" w:rsidRPr="00844820">
        <w:rPr>
          <w:b/>
          <w:spacing w:val="-4"/>
          <w:sz w:val="28"/>
          <w:szCs w:val="28"/>
        </w:rPr>
        <w:t xml:space="preserve"> BAN HÀNH</w:t>
      </w:r>
      <w:r w:rsidRPr="00844820">
        <w:rPr>
          <w:b/>
          <w:spacing w:val="-4"/>
          <w:sz w:val="28"/>
          <w:szCs w:val="28"/>
          <w:lang w:val="vi-VN"/>
        </w:rPr>
        <w:t>, QUAN ĐIỂM XÂY DỰNG</w:t>
      </w:r>
      <w:r w:rsidRPr="00844820">
        <w:rPr>
          <w:b/>
          <w:i/>
          <w:spacing w:val="-4"/>
          <w:sz w:val="28"/>
          <w:szCs w:val="28"/>
          <w:lang w:val="vi-VN"/>
        </w:rPr>
        <w:t xml:space="preserve"> </w:t>
      </w:r>
      <w:r w:rsidR="00FA6018" w:rsidRPr="00844820">
        <w:rPr>
          <w:b/>
          <w:spacing w:val="-4"/>
          <w:sz w:val="28"/>
          <w:szCs w:val="28"/>
        </w:rPr>
        <w:t>DỰ ÁN LUẬT</w:t>
      </w:r>
    </w:p>
    <w:p w14:paraId="46EC728D" w14:textId="62B59094" w:rsidR="00880F18" w:rsidRPr="00844820" w:rsidRDefault="00880F18" w:rsidP="00956135">
      <w:pPr>
        <w:pStyle w:val="NormalWeb"/>
        <w:widowControl w:val="0"/>
        <w:shd w:val="clear" w:color="auto" w:fill="FFFFFF"/>
        <w:tabs>
          <w:tab w:val="left" w:pos="3869"/>
        </w:tabs>
        <w:spacing w:before="120" w:beforeAutospacing="0" w:after="120" w:afterAutospacing="0" w:line="264" w:lineRule="auto"/>
        <w:ind w:firstLine="720"/>
        <w:jc w:val="both"/>
        <w:rPr>
          <w:sz w:val="28"/>
          <w:szCs w:val="28"/>
          <w:lang w:val="vi-VN"/>
        </w:rPr>
      </w:pPr>
      <w:r w:rsidRPr="00844820">
        <w:rPr>
          <w:rStyle w:val="Strong"/>
          <w:sz w:val="28"/>
          <w:szCs w:val="28"/>
          <w:lang w:val="vi-VN"/>
        </w:rPr>
        <w:t>1. Mục đích </w:t>
      </w:r>
      <w:r w:rsidR="00FA6018" w:rsidRPr="00844820">
        <w:rPr>
          <w:rStyle w:val="Strong"/>
          <w:sz w:val="28"/>
          <w:szCs w:val="28"/>
        </w:rPr>
        <w:t>ban hành</w:t>
      </w:r>
      <w:r w:rsidR="00AF15B8" w:rsidRPr="00844820">
        <w:rPr>
          <w:rStyle w:val="Strong"/>
          <w:sz w:val="28"/>
          <w:szCs w:val="28"/>
        </w:rPr>
        <w:t xml:space="preserve"> dự án Luật</w:t>
      </w:r>
      <w:r w:rsidR="00FC28D6" w:rsidRPr="00844820">
        <w:rPr>
          <w:rStyle w:val="Strong"/>
          <w:sz w:val="28"/>
          <w:szCs w:val="28"/>
          <w:lang w:val="vi-VN"/>
        </w:rPr>
        <w:tab/>
      </w:r>
    </w:p>
    <w:p w14:paraId="1DB762B2" w14:textId="77777777" w:rsidR="00FA6018" w:rsidRPr="00844820" w:rsidRDefault="00FA6018" w:rsidP="00956135">
      <w:pPr>
        <w:widowControl w:val="0"/>
        <w:tabs>
          <w:tab w:val="left" w:pos="993"/>
        </w:tabs>
        <w:autoSpaceDE w:val="0"/>
        <w:autoSpaceDN w:val="0"/>
        <w:adjustRightInd w:val="0"/>
        <w:spacing w:before="120" w:after="120" w:line="264" w:lineRule="auto"/>
        <w:rPr>
          <w:sz w:val="28"/>
          <w:szCs w:val="28"/>
        </w:rPr>
      </w:pPr>
      <w:r w:rsidRPr="00844820">
        <w:rPr>
          <w:sz w:val="28"/>
          <w:szCs w:val="28"/>
        </w:rPr>
        <w:t>- Kịp thời thể chế hóa các chủ trương lớn của Đảng và Nhà nước về x</w:t>
      </w:r>
      <w:r w:rsidRPr="00844820">
        <w:rPr>
          <w:iCs/>
          <w:sz w:val="28"/>
          <w:szCs w:val="28"/>
        </w:rPr>
        <w:t>ây dựng, hoàn thiện đồng bộ thể chế phát triển nền kinh tế thị trường định hướng xã hội chủ nghĩa</w:t>
      </w:r>
      <w:r w:rsidRPr="00844820">
        <w:rPr>
          <w:sz w:val="28"/>
          <w:szCs w:val="28"/>
          <w:bdr w:val="none" w:sz="0" w:space="0" w:color="auto" w:frame="1"/>
        </w:rPr>
        <w:t> đầy đủ, hiện đại, hội nhập</w:t>
      </w:r>
      <w:r w:rsidRPr="00844820">
        <w:rPr>
          <w:sz w:val="28"/>
          <w:szCs w:val="28"/>
        </w:rPr>
        <w:t>;</w:t>
      </w:r>
    </w:p>
    <w:p w14:paraId="1F52065B" w14:textId="77777777" w:rsidR="00FA6018" w:rsidRPr="00844820" w:rsidRDefault="00FA6018"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xml:space="preserve">- Thiết lập một khuôn khổ pháp lý toàn diện, đồng bộ và chuyên sâu cho hoạt động giao dịch hàng hóa phái sinh ở Việt Nam. </w:t>
      </w:r>
    </w:p>
    <w:p w14:paraId="28CA93AC" w14:textId="77777777" w:rsidR="00FA6018" w:rsidRPr="00844820" w:rsidRDefault="00FA6018"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Thúc đẩy phát triển thị trường giao dịch hàng hóa phái sinh theo hướng hiện đại, an toàn, minh bạch, phù hợp với chuẩn mực quốc tế, qua đó góp phần phát triển thị trường hàng hóa, tài chính trong nước và nâng cao vị thế của Việt Nam trên thị trường khu vực và toàn cầu.</w:t>
      </w:r>
    </w:p>
    <w:p w14:paraId="7E8FF350" w14:textId="5B1BE913" w:rsidR="00FA6018" w:rsidRPr="00844820" w:rsidRDefault="00FA6018"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Tạo cơ sở pháp lý rõ ràng, minh bạch để quản lý, giám sát hoạt động giao dịch hàng hóa phái sinh, qua đó bảo vệ quyền và lợi ích hợp pháp của các chủ thể tham gia; tăng cường niềm tin và thu hút dòng vốn trong và ngoài nước; góp phần bảo đảm an ninh kinh tế và nâng cao năng lực cạnh tranh của nền kinh tế trong bối cảnh hội nhập quốc tế sâu rộng.</w:t>
      </w:r>
    </w:p>
    <w:p w14:paraId="60FF7F25" w14:textId="77777777" w:rsidR="00666019" w:rsidRPr="00844820" w:rsidRDefault="00666019" w:rsidP="00956135">
      <w:pPr>
        <w:widowControl w:val="0"/>
        <w:spacing w:before="120" w:after="120" w:line="264" w:lineRule="auto"/>
        <w:rPr>
          <w:sz w:val="28"/>
          <w:szCs w:val="28"/>
        </w:rPr>
      </w:pPr>
      <w:r w:rsidRPr="00844820">
        <w:rPr>
          <w:sz w:val="28"/>
          <w:szCs w:val="28"/>
        </w:rPr>
        <w:t>- Gắn phát triển thị trường giao dịch hàng hóa phái sinh với mục tiêu ổn định sản xuất, nâng cao giá trị gia tăng và thu nhập cho người sản xuất nông nghiệp; hỗ trợ doanh nghiệp, hợp tác xã sử dụng công cụ phái sinh để phòng ngừa rủi ro biến động giá đối với các ngành hàng nông sản xuất khẩu chủ lực, góp phần phát triển nông nghiệp bền vững.</w:t>
      </w:r>
    </w:p>
    <w:p w14:paraId="3B71E07C" w14:textId="06C869C9" w:rsidR="00880F18" w:rsidRPr="00844820" w:rsidRDefault="00880F18" w:rsidP="00956135">
      <w:pPr>
        <w:pStyle w:val="NormalWeb"/>
        <w:widowControl w:val="0"/>
        <w:shd w:val="clear" w:color="auto" w:fill="FFFFFF"/>
        <w:spacing w:before="120" w:beforeAutospacing="0" w:after="120" w:afterAutospacing="0" w:line="264" w:lineRule="auto"/>
        <w:ind w:firstLine="720"/>
        <w:jc w:val="both"/>
        <w:rPr>
          <w:sz w:val="28"/>
          <w:szCs w:val="28"/>
        </w:rPr>
      </w:pPr>
      <w:r w:rsidRPr="00844820">
        <w:rPr>
          <w:rStyle w:val="Strong"/>
          <w:sz w:val="28"/>
          <w:szCs w:val="28"/>
          <w:lang w:val="vi-VN"/>
        </w:rPr>
        <w:t>2. Quan điểm xây dựng</w:t>
      </w:r>
      <w:r w:rsidR="00FA6018" w:rsidRPr="00844820">
        <w:rPr>
          <w:rStyle w:val="Strong"/>
          <w:sz w:val="28"/>
          <w:szCs w:val="28"/>
        </w:rPr>
        <w:t xml:space="preserve"> dự án Luật</w:t>
      </w:r>
    </w:p>
    <w:p w14:paraId="0E1B5082" w14:textId="56556FAB" w:rsidR="00E25CF4" w:rsidRPr="00844820" w:rsidRDefault="00E25CF4" w:rsidP="00956135">
      <w:pPr>
        <w:widowControl w:val="0"/>
        <w:tabs>
          <w:tab w:val="right" w:leader="dot" w:pos="7920"/>
        </w:tabs>
        <w:spacing w:before="120" w:after="120" w:line="264" w:lineRule="auto"/>
        <w:rPr>
          <w:spacing w:val="-2"/>
          <w:sz w:val="28"/>
          <w:szCs w:val="28"/>
        </w:rPr>
      </w:pPr>
      <w:r w:rsidRPr="00844820">
        <w:rPr>
          <w:spacing w:val="-2"/>
          <w:sz w:val="28"/>
          <w:szCs w:val="28"/>
        </w:rPr>
        <w:t xml:space="preserve">- </w:t>
      </w:r>
      <w:r w:rsidR="00FA6018" w:rsidRPr="00844820">
        <w:rPr>
          <w:spacing w:val="-2"/>
          <w:sz w:val="28"/>
          <w:szCs w:val="28"/>
        </w:rPr>
        <w:t>Thể chế hóa các quan điểm, chủ trương, đường lối của Đảng</w:t>
      </w:r>
      <w:r w:rsidRPr="00844820">
        <w:rPr>
          <w:spacing w:val="-2"/>
          <w:sz w:val="28"/>
          <w:szCs w:val="28"/>
        </w:rPr>
        <w:t xml:space="preserve"> </w:t>
      </w:r>
      <w:r w:rsidR="00FA6018" w:rsidRPr="00844820">
        <w:rPr>
          <w:spacing w:val="-2"/>
          <w:sz w:val="28"/>
          <w:szCs w:val="28"/>
        </w:rPr>
        <w:t xml:space="preserve">và Nhà nước </w:t>
      </w:r>
      <w:r w:rsidRPr="00844820">
        <w:rPr>
          <w:spacing w:val="-2"/>
          <w:sz w:val="28"/>
          <w:szCs w:val="28"/>
        </w:rPr>
        <w:t xml:space="preserve">về hoàn thiện thể chế kinh tế thị trường, phát triển đồng bộ các loại thị trường và thúc đẩy hội nhập quốc tế. </w:t>
      </w:r>
    </w:p>
    <w:p w14:paraId="48EC454C" w14:textId="0BADF34A" w:rsidR="00E25CF4" w:rsidRPr="00844820" w:rsidRDefault="00E25CF4" w:rsidP="00956135">
      <w:pPr>
        <w:widowControl w:val="0"/>
        <w:tabs>
          <w:tab w:val="right" w:leader="dot" w:pos="7920"/>
        </w:tabs>
        <w:spacing w:before="120" w:after="120" w:line="264" w:lineRule="auto"/>
        <w:rPr>
          <w:spacing w:val="-2"/>
          <w:sz w:val="28"/>
          <w:szCs w:val="28"/>
        </w:rPr>
      </w:pPr>
      <w:r w:rsidRPr="00844820">
        <w:rPr>
          <w:spacing w:val="-2"/>
          <w:sz w:val="28"/>
          <w:szCs w:val="28"/>
        </w:rPr>
        <w:t>- Bảo đảm tính hợp hiến, hợp pháp và thống nhất của hệ thống pháp luật; xác định rõ phạm vi điều chỉnh, tránh chồng chéo với các lĩnh vực liên quan.</w:t>
      </w:r>
    </w:p>
    <w:p w14:paraId="361D1295" w14:textId="4BCA8E2F" w:rsidR="00E25CF4" w:rsidRPr="00844820" w:rsidRDefault="00E25CF4" w:rsidP="00956135">
      <w:pPr>
        <w:widowControl w:val="0"/>
        <w:tabs>
          <w:tab w:val="right" w:leader="dot" w:pos="7920"/>
        </w:tabs>
        <w:spacing w:before="120" w:after="120" w:line="264" w:lineRule="auto"/>
        <w:rPr>
          <w:spacing w:val="-2"/>
          <w:sz w:val="28"/>
          <w:szCs w:val="28"/>
        </w:rPr>
      </w:pPr>
      <w:r w:rsidRPr="00844820">
        <w:rPr>
          <w:spacing w:val="-2"/>
          <w:sz w:val="28"/>
          <w:szCs w:val="28"/>
        </w:rPr>
        <w:t>- Phát triển thị trường giao dịch hàng hóa phái sinh gắn với thị trường hàng hóa thực, nâng cao vai trò phòng ngừa rủi ro và hỗ trợ hình thành giá.</w:t>
      </w:r>
    </w:p>
    <w:p w14:paraId="34BD9058" w14:textId="133E0C69" w:rsidR="00484465" w:rsidRPr="00844820" w:rsidRDefault="00484465" w:rsidP="00956135">
      <w:pPr>
        <w:widowControl w:val="0"/>
        <w:tabs>
          <w:tab w:val="right" w:leader="dot" w:pos="7920"/>
        </w:tabs>
        <w:spacing w:before="120" w:after="120" w:line="264" w:lineRule="auto"/>
        <w:rPr>
          <w:spacing w:val="-2"/>
          <w:sz w:val="28"/>
          <w:szCs w:val="28"/>
        </w:rPr>
      </w:pPr>
      <w:r w:rsidRPr="00844820">
        <w:rPr>
          <w:spacing w:val="-2"/>
          <w:sz w:val="28"/>
          <w:szCs w:val="28"/>
        </w:rPr>
        <w:t>- Đẩy mạnh ứng dụng công nghệ số, dữ liệu số và các công nghệ tiên tiến trong quản lý, giám sát thị trường; chuyển mạnh từ tiền kiểm sang hậu kiểm gắn với quản trị rủi ro và nâng cao hiệu quả giám sát nhà nước</w:t>
      </w:r>
      <w:r w:rsidR="00FA6018" w:rsidRPr="00844820">
        <w:rPr>
          <w:spacing w:val="-2"/>
          <w:sz w:val="28"/>
          <w:szCs w:val="28"/>
        </w:rPr>
        <w:t>, bảo đảm tính minh bạch của thị trường</w:t>
      </w:r>
      <w:r w:rsidRPr="00844820">
        <w:rPr>
          <w:spacing w:val="-2"/>
          <w:sz w:val="28"/>
          <w:szCs w:val="28"/>
        </w:rPr>
        <w:t>.</w:t>
      </w:r>
    </w:p>
    <w:p w14:paraId="4C0220BD" w14:textId="39096FEB" w:rsidR="00FA6018" w:rsidRPr="00844820" w:rsidRDefault="00FA6018" w:rsidP="00956135">
      <w:pPr>
        <w:widowControl w:val="0"/>
        <w:shd w:val="clear" w:color="auto" w:fill="FFFFFF"/>
        <w:tabs>
          <w:tab w:val="left" w:pos="993"/>
        </w:tabs>
        <w:spacing w:before="120" w:after="120" w:line="264" w:lineRule="auto"/>
        <w:rPr>
          <w:sz w:val="28"/>
          <w:szCs w:val="28"/>
        </w:rPr>
      </w:pPr>
      <w:r w:rsidRPr="00844820">
        <w:rPr>
          <w:sz w:val="28"/>
          <w:szCs w:val="28"/>
        </w:rPr>
        <w:t xml:space="preserve">- Kế thừa có chọn lọc các quy định hiện hành, tiếp thu kinh nghiệm quốc tế, bảo đảm tính khả thi, phù hợp với điều kiện thực tiễn của Việt Nam, đáp ứng yêu cầu hội nhập và tương thích với Điều ước quốc tế liên quan mà Việt Nam là thành viên. </w:t>
      </w:r>
    </w:p>
    <w:p w14:paraId="682CB650" w14:textId="6280A296" w:rsidR="00F87A87" w:rsidRPr="00844820" w:rsidRDefault="00F87A87" w:rsidP="00956135">
      <w:pPr>
        <w:widowControl w:val="0"/>
        <w:tabs>
          <w:tab w:val="right" w:leader="dot" w:pos="7920"/>
        </w:tabs>
        <w:spacing w:before="120" w:after="120" w:line="264" w:lineRule="auto"/>
        <w:rPr>
          <w:b/>
          <w:spacing w:val="6"/>
          <w:sz w:val="28"/>
          <w:szCs w:val="28"/>
        </w:rPr>
      </w:pPr>
      <w:r w:rsidRPr="00844820">
        <w:rPr>
          <w:b/>
          <w:spacing w:val="6"/>
          <w:sz w:val="28"/>
          <w:szCs w:val="28"/>
          <w:lang w:val="vi-VN"/>
        </w:rPr>
        <w:t xml:space="preserve">III. </w:t>
      </w:r>
      <w:r w:rsidR="00FA6018" w:rsidRPr="00844820">
        <w:rPr>
          <w:b/>
          <w:spacing w:val="6"/>
          <w:sz w:val="28"/>
          <w:szCs w:val="28"/>
        </w:rPr>
        <w:t>QUÁ TRÌNH XÂY DỰNG DỰ ÁN LUẬT</w:t>
      </w:r>
    </w:p>
    <w:p w14:paraId="676B4AAA" w14:textId="4F316210"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Thực hiện Nghị quyết số 119/2026/UBTVQH15 ngày 06/02/2026 của Ủy ban Thường vụ Quốc hội về việc điều chỉnh Chương trình lập pháp năm 2026, Nghị quyết số 220/NQ-CP ngày 07/8/2026 của Chính phủ về việc thông qua chính sách của dự án Luật Giao dịch hàng hóa phái sinh và phân công của Chính phủ, Bộ Công Thương đã chủ trì, phối hợp với các bộ, ngành, cơ quan, tổ chức có liên quan thực hiện trình tự, thủ tục xây dựng Hồ sơ chính sách Luật và Hồ sơ dự án Luật Giao dịch hàng hóa phái sinh theo quy định của Luật Ban hành văn bản quy phạm pháp luật, cụ thể như sau:</w:t>
      </w:r>
    </w:p>
    <w:p w14:paraId="4AE1767B" w14:textId="1CAEEF32"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1. Xây dựng Hồ sơ chính sách Luật</w:t>
      </w:r>
    </w:p>
    <w:p w14:paraId="64FE0114" w14:textId="4A550E34"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Về tổ chức triển khai, ngày 03/02/2026, Bộ Công Thương ban hành Quyết định số 242/QĐ-BCT về Kế hoạch soạn thảo chi tiết Luật Giao dịch hàng hóa phái sinh; ngày 09/3/2026, ban hành Quyết định số 414/QĐ-BCT thành lập Tổ soạn thảo dự án Luật; ngày 10/7/2026, ban hành Quyết định số 1743/QĐ-BCT điều chỉnh Tổ trưởng, bổ sung thành viên Tổ soạn thảo.</w:t>
      </w:r>
    </w:p>
    <w:p w14:paraId="60DA5A6E" w14:textId="14438B85"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 Ngày 13/02/2026, Bộ Công Thương ban hành Công văn số 1006/BCT-TTTN lấy ý kiến đối với Hồ sơ chính sách; ngày 20/3/2026, tổ chức Hội nghị tham vấn chính sách Luật Giao dịch hàng hóa phái sinh. Trên cơ sở ý kiến của các cơ quan, tổ chức, chuyên gia, hiệp hội, doanh nghiệp và các đối tượng có liên quan, Bộ Công Thương đã tổng hợp, tiếp thu, giải trình và hoàn thiện Hồ sơ chính sách.</w:t>
      </w:r>
    </w:p>
    <w:p w14:paraId="3514D7FE" w14:textId="4B112C38"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 Ngày 01/4/2026, Bộ Công Thương ban hành Công văn số 2235/BCT-TTTN gửi Bộ Tư pháp đề nghị thẩm định Hồ sơ chính sách; sau khi tiếp tục rà soát, hoàn thiện, ngày 20/5/2026, Bộ Công Thương ban hành Công văn số 3539/BCT-TTTN gửi lại Hồ sơ đề nghị thẩm định. Ngày 28/5/2026, Bộ Tư pháp tổ chức họp Hội đồng thẩm định và ngày 11/6/2026, ban hành Báo cáo thẩm định số 316/BCTĐ-BTP.</w:t>
      </w:r>
    </w:p>
    <w:p w14:paraId="00A9A626" w14:textId="09420268"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 Trong tháng 6 và tháng 7/2026, Bộ Công Thương tổ chức các cuộc họp Tổ soạn thảo; phối hợp với các cơ quan của Quốc hội; tổ chức khảo sát, làm việc tại Sở Giao dịch hàng hóa Việt Nam, Trung tâm Tài chính quốc tế Việt Nam tại Thành phố Hồ Chí Minh, các doanh nghiệp sản xuất, chế biến, xuất khẩu cà phê tại tỉnh Đắk Lắk, Liên đoàn Thương mại và Công nghiệp Việt Nam (VCCI), các doanh nghiệp hoạt động trong lĩnh vực điện và các cơ quan, tổ chức có liên quan để tiếp tục hoàn thiện chính sách và dự thảo Luật.</w:t>
      </w:r>
    </w:p>
    <w:p w14:paraId="5F47DDE7" w14:textId="77777777"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 xml:space="preserve">- Ngày 12/7/2026, Bộ Công Thương ban hành Tờ trình số 5369/BCT-TTr và ngày 22/7/2026, tiếp tục có Tờ trình số 5650/BCT-TTr trình Chính phủ Hồ sơ chính sách Luật Giao dịch hàng hóa phái sinh. </w:t>
      </w:r>
    </w:p>
    <w:p w14:paraId="608E1481" w14:textId="38C866FC"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 Ngày 07/8/2026, Chính phủ ban hành Nghị quyết số 220/NQ-CP về việc thông qua chính sách của dự án Luật Giao dịch hàng hóa phái sinh, trong đó thông qua tên gọi của Luật là Luật Giao dịch hàng hóa phái sinh và cơ bản thông qua 05 chính sách của dự án Luật; đồng thời, giao Bộ Công Thương tiếp thu ý kiến Thành viên Chính phủ, hoàn thiện các chính sách, trên cơ sở đó tổ chức xây dựng dự án Luật theo quy định.</w:t>
      </w:r>
    </w:p>
    <w:p w14:paraId="5F3D1B32" w14:textId="07C6A3BE"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2. Xây dựng Hồ sơ dự án Luật</w:t>
      </w:r>
    </w:p>
    <w:p w14:paraId="48C5A173" w14:textId="440B5C53" w:rsidR="00980FA0" w:rsidRPr="00844820" w:rsidRDefault="00980FA0" w:rsidP="00453E33">
      <w:pPr>
        <w:widowControl w:val="0"/>
        <w:tabs>
          <w:tab w:val="right" w:leader="dot" w:pos="7920"/>
        </w:tabs>
        <w:spacing w:before="120" w:after="120" w:line="264" w:lineRule="auto"/>
        <w:rPr>
          <w:sz w:val="28"/>
          <w:szCs w:val="28"/>
        </w:rPr>
      </w:pPr>
      <w:r w:rsidRPr="00844820">
        <w:rPr>
          <w:sz w:val="28"/>
          <w:szCs w:val="28"/>
        </w:rPr>
        <w:t>- Thực hiện Nghị quyết số 220/NQ-CP ngày 07/8/2026 của Chính phủ về việc thông qua chính sách của dự án Luật Giao dịch hàng hóa phái sinh, Bộ Công Thương chủ trì, phối hợp với các bộ, cơ quan liên quan tiếp thu ý kiến Thành viên Chính phủ, hoàn thiện các chính sách đã được Chính phủ thông qua; đồng thời tiếp tục rà soát, chỉnh lý dự thảo Luật và hoàn thiện Hồ sơ dự án Luật theo quy định của Luật Ban hành văn bản quy phạm pháp luật.</w:t>
      </w:r>
    </w:p>
    <w:p w14:paraId="1777B1B9" w14:textId="343248FF" w:rsidR="00980FA0" w:rsidRPr="00844820" w:rsidRDefault="008A70DC" w:rsidP="00956135">
      <w:pPr>
        <w:widowControl w:val="0"/>
        <w:tabs>
          <w:tab w:val="right" w:leader="dot" w:pos="7920"/>
        </w:tabs>
        <w:spacing w:before="120" w:after="120" w:line="264" w:lineRule="auto"/>
        <w:rPr>
          <w:sz w:val="28"/>
          <w:szCs w:val="28"/>
        </w:rPr>
      </w:pPr>
      <w:r w:rsidRPr="00844820">
        <w:rPr>
          <w:sz w:val="28"/>
          <w:szCs w:val="28"/>
        </w:rPr>
        <w:t xml:space="preserve">- </w:t>
      </w:r>
      <w:r w:rsidR="003C582F" w:rsidRPr="00844820">
        <w:rPr>
          <w:sz w:val="28"/>
          <w:szCs w:val="28"/>
        </w:rPr>
        <w:t>Trên cơ sở kết quả lấy ý kiến đối với dự thảo Luật theo Công văn số 4957/BCT-TTTN ngày 01/7/2026 và Công văn số 5474/BCT-TTTN ngày 15/7/2026 của Bộ Công Thương gửi các bộ, cơ quan ngang bộ; 34 Đoàn đại biểu Quốc hội các tỉnh, thành phố; Ủy ban nhân dân, Sở Công Thương các tỉnh, thành phố; Ủy ban Trung ương Mặt trận Tổ quốc Việt Nam; các đơn vị thuộc Bộ Công Thương; các cơ quan, tổ chức, Trường đại học, Hiệp hội, Ngân hàng, doanh nghiệp, chuyên gia và các đối tượng có liên quan, Bộ Công Thương đã tổng hợp, nghiên cứu, tiếp thu, giải trình các ý kiến góp ý; trên cơ sở đó chỉnh lý, hoàn thiện dự thảo Luật và các tài liệu liên quan.</w:t>
      </w:r>
    </w:p>
    <w:p w14:paraId="74CA23E5" w14:textId="75C4AA26" w:rsidR="00980FA0" w:rsidRPr="00844820" w:rsidRDefault="00980FA0" w:rsidP="00956135">
      <w:pPr>
        <w:widowControl w:val="0"/>
        <w:tabs>
          <w:tab w:val="right" w:leader="dot" w:pos="7920"/>
        </w:tabs>
        <w:spacing w:before="120" w:after="120" w:line="264" w:lineRule="auto"/>
        <w:rPr>
          <w:sz w:val="28"/>
          <w:szCs w:val="28"/>
        </w:rPr>
      </w:pPr>
      <w:r w:rsidRPr="00844820">
        <w:rPr>
          <w:sz w:val="28"/>
          <w:szCs w:val="28"/>
        </w:rPr>
        <w:t xml:space="preserve">- </w:t>
      </w:r>
      <w:r w:rsidR="003C582F" w:rsidRPr="00844820">
        <w:rPr>
          <w:sz w:val="28"/>
          <w:szCs w:val="28"/>
        </w:rPr>
        <w:t>Trong quá trình xây dựng Hồ sơ dự án Luật, Bộ Công Thương tiếp tục tổ chức các cuộc họp Tổ soạn thảo, tham vấn chuyên gia, làm việc với các cơ quan, tổ chức có liên quan; đồng thời rà soát, chỉnh lý, hoàn thiện dự thảo Luật và các tài liệu thuộc Hồ sơ dự án Luật, bảo đảm thể chế hóa đầy đủ các chính sách đã được Chính phủ thông qua, tính hợp hiến, hợp pháp, thống nhất, đồng bộ của hệ thống pháp luật, phù hợp với các điều ước quốc tế mà Việt Nam là thành viên, yêu cầu thực tiễn và tính khả thi trong tổ chức thực hiện.</w:t>
      </w:r>
    </w:p>
    <w:p w14:paraId="1E24AD01" w14:textId="3E12C152" w:rsidR="005257EE" w:rsidRPr="00844820" w:rsidRDefault="003C582F" w:rsidP="00956135">
      <w:pPr>
        <w:widowControl w:val="0"/>
        <w:spacing w:before="120" w:after="120" w:line="264" w:lineRule="auto"/>
        <w:rPr>
          <w:sz w:val="28"/>
          <w:szCs w:val="28"/>
        </w:rPr>
      </w:pPr>
      <w:r w:rsidRPr="00844820">
        <w:rPr>
          <w:sz w:val="28"/>
          <w:szCs w:val="28"/>
        </w:rPr>
        <w:t>-</w:t>
      </w:r>
      <w:r w:rsidR="00F31198" w:rsidRPr="00844820">
        <w:rPr>
          <w:sz w:val="28"/>
          <w:szCs w:val="28"/>
        </w:rPr>
        <w:t xml:space="preserve"> </w:t>
      </w:r>
      <w:r w:rsidR="005257EE" w:rsidRPr="00844820">
        <w:rPr>
          <w:sz w:val="28"/>
          <w:szCs w:val="28"/>
        </w:rPr>
        <w:t>Ngày …/…/2026, Bộ Công Thương có Công văn số …/BCT-TTTN gửi Bộ Tư pháp đề nghị thẩm định dự án Luật Giao dịch hàng hóa phái sinh. Ngày …/…/2026, Bộ Tư pháp tổ chức họp Hội đồng thẩm định và ngày …/…/2026 ban hành Báo cáo thẩm định số …/BCTĐ-BTP.</w:t>
      </w:r>
    </w:p>
    <w:p w14:paraId="6B977330" w14:textId="77777777" w:rsidR="005257EE" w:rsidRPr="00844820" w:rsidRDefault="005257EE" w:rsidP="00956135">
      <w:pPr>
        <w:widowControl w:val="0"/>
        <w:pBdr>
          <w:bottom w:val="single" w:sz="4" w:space="13" w:color="FFFFFF"/>
        </w:pBdr>
        <w:spacing w:before="120" w:after="120" w:line="264" w:lineRule="auto"/>
        <w:rPr>
          <w:sz w:val="28"/>
          <w:szCs w:val="28"/>
        </w:rPr>
      </w:pPr>
      <w:r w:rsidRPr="00844820">
        <w:rPr>
          <w:sz w:val="28"/>
          <w:szCs w:val="28"/>
        </w:rPr>
        <w:t>- Trên cơ sở ý kiến thẩm định của Bộ Tư pháp, Bộ Công Thương đã nghiên cứu, tiếp thu, giải trình, chỉnh lý và hoàn thiện Hồ sơ dự án Luật; Ngày …/…/2026, Bộ Công Thương có Công văn số …/BCT-TTTN gửi Bộ Tư pháp đề nghị cho ý kiến đối với Báo cáo giải trình, tiếp thu ý kiến thẩm định dự án Luật.</w:t>
      </w:r>
    </w:p>
    <w:p w14:paraId="60A12CB1" w14:textId="554F102E" w:rsidR="005257EE" w:rsidRPr="00844820" w:rsidRDefault="005257EE" w:rsidP="00956135">
      <w:pPr>
        <w:widowControl w:val="0"/>
        <w:pBdr>
          <w:bottom w:val="single" w:sz="4" w:space="13" w:color="FFFFFF"/>
        </w:pBdr>
        <w:spacing w:before="120" w:after="120" w:line="264" w:lineRule="auto"/>
        <w:rPr>
          <w:sz w:val="28"/>
          <w:szCs w:val="28"/>
        </w:rPr>
      </w:pPr>
      <w:r w:rsidRPr="00844820">
        <w:rPr>
          <w:sz w:val="28"/>
          <w:szCs w:val="28"/>
        </w:rPr>
        <w:t>- Ngày …/…/2026, Bộ Tư pháp có Công văn số … cho ý kiến đối với Báo cáo giải trình, tiếp thu ý kiến thẩm định dự án Luật.</w:t>
      </w:r>
    </w:p>
    <w:p w14:paraId="712C3FCE" w14:textId="77777777" w:rsidR="005257EE" w:rsidRPr="00844820" w:rsidRDefault="005257EE" w:rsidP="00956135">
      <w:pPr>
        <w:widowControl w:val="0"/>
        <w:pBdr>
          <w:bottom w:val="single" w:sz="4" w:space="13" w:color="FFFFFF"/>
        </w:pBdr>
        <w:spacing w:before="120" w:after="120" w:line="264" w:lineRule="auto"/>
        <w:rPr>
          <w:sz w:val="28"/>
          <w:szCs w:val="28"/>
        </w:rPr>
      </w:pPr>
      <w:r w:rsidRPr="00844820">
        <w:rPr>
          <w:sz w:val="28"/>
          <w:szCs w:val="28"/>
        </w:rPr>
        <w:t>Trên cơ sở kết quả thẩm định và ý kiến của các cơ quan, tổ chức có liên quan, Bộ Công Thương đã hoàn thiện Hồ sơ dự án Luật Giao dịch hàng hóa phái sinh, trình Chính phủ xem xét, quyết định để trình Quốc hội theo quy định</w:t>
      </w:r>
    </w:p>
    <w:p w14:paraId="44D8DCCC" w14:textId="77777777" w:rsidR="00877605" w:rsidRPr="00844820" w:rsidRDefault="00DD252F" w:rsidP="00956135">
      <w:pPr>
        <w:widowControl w:val="0"/>
        <w:pBdr>
          <w:bottom w:val="single" w:sz="4" w:space="13" w:color="FFFFFF"/>
        </w:pBdr>
        <w:spacing w:before="120" w:after="120" w:line="264" w:lineRule="auto"/>
        <w:rPr>
          <w:b/>
          <w:bCs/>
          <w:sz w:val="28"/>
          <w:szCs w:val="28"/>
        </w:rPr>
      </w:pPr>
      <w:r w:rsidRPr="00844820">
        <w:rPr>
          <w:b/>
          <w:bCs/>
          <w:sz w:val="28"/>
          <w:szCs w:val="28"/>
        </w:rPr>
        <w:t>IV. BỐ CỤC VÀ NỘI DUNG CƠ BẢN CỦA DỰ THẢO LUẬT</w:t>
      </w:r>
    </w:p>
    <w:p w14:paraId="197E74ED" w14:textId="77777777" w:rsidR="00877605" w:rsidRPr="00844820" w:rsidRDefault="00063847" w:rsidP="00956135">
      <w:pPr>
        <w:widowControl w:val="0"/>
        <w:pBdr>
          <w:bottom w:val="single" w:sz="4" w:space="13" w:color="FFFFFF"/>
        </w:pBdr>
        <w:spacing w:before="120" w:after="120" w:line="264" w:lineRule="auto"/>
        <w:rPr>
          <w:b/>
          <w:bCs/>
          <w:sz w:val="28"/>
          <w:szCs w:val="28"/>
        </w:rPr>
      </w:pPr>
      <w:r w:rsidRPr="00844820">
        <w:rPr>
          <w:b/>
          <w:bCs/>
          <w:sz w:val="28"/>
          <w:szCs w:val="28"/>
        </w:rPr>
        <w:t>1</w:t>
      </w:r>
      <w:r w:rsidR="003840D6" w:rsidRPr="00844820">
        <w:rPr>
          <w:b/>
          <w:bCs/>
          <w:sz w:val="28"/>
          <w:szCs w:val="28"/>
          <w:lang w:val="vi-VN"/>
        </w:rPr>
        <w:t xml:space="preserve">. Phạm vi </w:t>
      </w:r>
      <w:r w:rsidR="00DD252F" w:rsidRPr="00844820">
        <w:rPr>
          <w:b/>
          <w:bCs/>
          <w:sz w:val="28"/>
          <w:szCs w:val="28"/>
        </w:rPr>
        <w:t>điều chỉnh, đối tượng áp dụng</w:t>
      </w:r>
    </w:p>
    <w:p w14:paraId="5DA67595" w14:textId="77777777" w:rsidR="00877605" w:rsidRPr="00844820" w:rsidRDefault="00DD252F" w:rsidP="00956135">
      <w:pPr>
        <w:widowControl w:val="0"/>
        <w:pBdr>
          <w:bottom w:val="single" w:sz="4" w:space="13" w:color="FFFFFF"/>
        </w:pBdr>
        <w:spacing w:before="120" w:after="120" w:line="264" w:lineRule="auto"/>
        <w:rPr>
          <w:b/>
          <w:bCs/>
          <w:sz w:val="28"/>
          <w:szCs w:val="28"/>
        </w:rPr>
      </w:pPr>
      <w:r w:rsidRPr="00844820">
        <w:rPr>
          <w:b/>
          <w:bCs/>
          <w:sz w:val="28"/>
          <w:szCs w:val="28"/>
        </w:rPr>
        <w:t>1.1. Phạm vi điều chỉnh</w:t>
      </w:r>
    </w:p>
    <w:p w14:paraId="7499C0F2" w14:textId="77777777" w:rsidR="00877605" w:rsidRPr="00844820" w:rsidRDefault="00DD252F" w:rsidP="00956135">
      <w:pPr>
        <w:widowControl w:val="0"/>
        <w:pBdr>
          <w:bottom w:val="single" w:sz="4" w:space="13" w:color="FFFFFF"/>
        </w:pBdr>
        <w:spacing w:before="120" w:after="120" w:line="264" w:lineRule="auto"/>
        <w:rPr>
          <w:sz w:val="28"/>
          <w:szCs w:val="28"/>
        </w:rPr>
      </w:pPr>
      <w:r w:rsidRPr="00844820">
        <w:rPr>
          <w:sz w:val="28"/>
          <w:szCs w:val="28"/>
        </w:rPr>
        <w:t>Dự thảo Luật quy định về tổ chức và hoạt động của thị trường giao dịch hàng hóa phái sinh tại Việt Nam, bao gồm giao dịch hàng hóa phái sinh trên Sở giao dịch hàng hóa, giao dịch hàng hóa phái sinh phi tập trung (OTC); tổ chức và hoạt động của các chủ thể hạ tầng thị trường; hoạt động cung ứng dịch vụ hỗ trợ thị trường; quyền, nghĩa vụ của các chủ thể tham gia thị trường; quản lý nhà nước và các nội dung khác có liên quan đến giao dịch hàng hóa phái sinh.</w:t>
      </w:r>
    </w:p>
    <w:p w14:paraId="5B01220D" w14:textId="77777777" w:rsidR="00877605" w:rsidRPr="00844820" w:rsidRDefault="00DD252F" w:rsidP="00956135">
      <w:pPr>
        <w:widowControl w:val="0"/>
        <w:pBdr>
          <w:bottom w:val="single" w:sz="4" w:space="13" w:color="FFFFFF"/>
        </w:pBdr>
        <w:spacing w:before="120" w:after="120" w:line="264" w:lineRule="auto"/>
        <w:rPr>
          <w:b/>
          <w:bCs/>
          <w:sz w:val="28"/>
          <w:szCs w:val="28"/>
        </w:rPr>
      </w:pPr>
      <w:r w:rsidRPr="00844820">
        <w:rPr>
          <w:b/>
          <w:bCs/>
          <w:sz w:val="28"/>
          <w:szCs w:val="28"/>
        </w:rPr>
        <w:t>1.2. Đối tượng áp dụng</w:t>
      </w:r>
    </w:p>
    <w:p w14:paraId="64C3E9AB" w14:textId="530E5A03" w:rsidR="00877605" w:rsidRPr="00844820" w:rsidRDefault="0003519E" w:rsidP="00956135">
      <w:pPr>
        <w:widowControl w:val="0"/>
        <w:pBdr>
          <w:bottom w:val="single" w:sz="4" w:space="13" w:color="FFFFFF"/>
        </w:pBdr>
        <w:spacing w:before="120" w:after="120" w:line="264" w:lineRule="auto"/>
        <w:rPr>
          <w:sz w:val="28"/>
          <w:szCs w:val="28"/>
        </w:rPr>
      </w:pPr>
      <w:r w:rsidRPr="00844820">
        <w:rPr>
          <w:sz w:val="28"/>
          <w:szCs w:val="28"/>
        </w:rPr>
        <w:t>Dự thảo Luật áp dụng đối với tổ chức, cá nhân tham gia hoặc có liên quan đến hoạt động giao dịch hàng hóa phái sinh, bao gồm các chủ thể vận hành hạ tầng thị trường, thành viên thị trường, tổ chức cung ứng dịch vụ hỗ trợ giao dịch hàng hóa phái sinh, tổ chức, cá nhân trong nước và nước ngoài tham gia giao dịch hàng hóa phái sinh và các cơ quan, tổ chức, cá nhân khác có liên quan.</w:t>
      </w:r>
    </w:p>
    <w:p w14:paraId="7048C697" w14:textId="77777777" w:rsidR="002020F2" w:rsidRPr="00844820" w:rsidRDefault="002020F2" w:rsidP="00956135">
      <w:pPr>
        <w:widowControl w:val="0"/>
        <w:pBdr>
          <w:bottom w:val="single" w:sz="4" w:space="13" w:color="FFFFFF"/>
        </w:pBdr>
        <w:spacing w:before="120" w:after="120" w:line="264" w:lineRule="auto"/>
        <w:rPr>
          <w:b/>
          <w:bCs/>
          <w:sz w:val="28"/>
          <w:szCs w:val="28"/>
        </w:rPr>
      </w:pPr>
      <w:r w:rsidRPr="00844820">
        <w:rPr>
          <w:b/>
          <w:bCs/>
          <w:sz w:val="28"/>
          <w:szCs w:val="28"/>
        </w:rPr>
        <w:t>2. Bố cục của dự thảo Luật</w:t>
      </w:r>
    </w:p>
    <w:p w14:paraId="5E660220"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Dự thảo Luật gồm 08 Chương, 55 Điều, với bố cục như sau:</w:t>
      </w:r>
    </w:p>
    <w:p w14:paraId="7D2F2C06"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Chương I. Quy định chung, quy định về phạm vi điều chỉnh, đối tượng áp dụng, giải thích từ ngữ, nguyên tắc hoạt động, chính sách phát triển thị trường, cơ chế thử nghiệm có kiểm soát, các hành vi bị nghiêm cấm, quản lý nhà nước, tổ chức xã hội - nghề nghiệp và chế độ báo cáo, kết nối dữ liệu.</w:t>
      </w:r>
    </w:p>
    <w:p w14:paraId="71D16FC3"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Chương II. Thị trường hàng hóa phái sinh tập trung, quy định về Sở giao dịch hàng hóa, Trung tâm thanh toán bù trừ, cơ chế tự quản, thành viên, niêm yết và giao dịch hợp đồng hàng hóa phái sinh, thanh toán bù trừ, ký quỹ, giao nhận hàng hóa và các biện pháp quản trị rủi ro trên thị trường tập trung.</w:t>
      </w:r>
    </w:p>
    <w:p w14:paraId="07F419B7"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Chương III. Thị trường hàng hóa phái sinh OTC, quy định về giao dịch hàng hóa phái sinh OTC và tổ chức trung gian cung cấp dịch vụ trên thị trường OTC.</w:t>
      </w:r>
    </w:p>
    <w:p w14:paraId="087B9831"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Chương IV. Liên thông thị trường qua biên giới, quy định về nguyên tắc, điều kiện, hình thức và cơ chế quản lý hoạt động liên thông thị trường qua biên giới.</w:t>
      </w:r>
    </w:p>
    <w:p w14:paraId="38ABCA57"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Chương V. Thành viên và nhà đầu tư, quy định về các loại thành viên, nhà đầu tư, quyền và nghĩa vụ của các chủ thể tham gia thị trường; quy định đặc thù đối với doanh nghiệp nhà nước, tổ chức tín dụng và chi nhánh ngân hàng nước ngoài.</w:t>
      </w:r>
    </w:p>
    <w:p w14:paraId="5318A526"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Chương VI. Quản trị rủi ro và an toàn hệ thống, quy định về quản trị rủi ro hệ thống, giám sát thị trường, bảo đảm hoạt động liên tục, quản trị rủi ro thanh toán, rủi ro đối tác và các biện pháp can thiệp khẩn cấp.</w:t>
      </w:r>
    </w:p>
    <w:p w14:paraId="3BC00259" w14:textId="77777777" w:rsidR="002020F2" w:rsidRPr="00844820" w:rsidRDefault="002020F2" w:rsidP="00956135">
      <w:pPr>
        <w:widowControl w:val="0"/>
        <w:pBdr>
          <w:bottom w:val="single" w:sz="4" w:space="13" w:color="FFFFFF"/>
        </w:pBdr>
        <w:spacing w:before="120" w:after="120" w:line="264" w:lineRule="auto"/>
        <w:rPr>
          <w:bCs/>
          <w:sz w:val="28"/>
          <w:szCs w:val="28"/>
        </w:rPr>
      </w:pPr>
      <w:r w:rsidRPr="00844820">
        <w:rPr>
          <w:bCs/>
          <w:sz w:val="28"/>
          <w:szCs w:val="28"/>
        </w:rPr>
        <w:t>Chương VII. Xử lý vi phạm, giải quyết tranh chấp và bồi thường thiệt hại, quy định về nguyên tắc xử lý vi phạm, giải quyết tranh chấp, trách nhiệm và bồi thường thiệt hại.</w:t>
      </w:r>
    </w:p>
    <w:p w14:paraId="7CB7CB6D" w14:textId="579E2FD6" w:rsidR="00877605" w:rsidRPr="00844820" w:rsidRDefault="002020F2" w:rsidP="00956135">
      <w:pPr>
        <w:widowControl w:val="0"/>
        <w:pBdr>
          <w:bottom w:val="single" w:sz="4" w:space="13" w:color="FFFFFF"/>
        </w:pBdr>
        <w:spacing w:before="120" w:after="120" w:line="264" w:lineRule="auto"/>
        <w:rPr>
          <w:sz w:val="28"/>
          <w:szCs w:val="28"/>
        </w:rPr>
      </w:pPr>
      <w:r w:rsidRPr="00844820">
        <w:rPr>
          <w:bCs/>
          <w:sz w:val="28"/>
          <w:szCs w:val="28"/>
        </w:rPr>
        <w:t>Chương VIII. Điều khoản thi hành, quy định về hiệu lực thi hành, sửa đổi, bãi bỏ các quy định có liên quan, quy định chuyển tiếp và trách nhiệm thi hành.</w:t>
      </w:r>
    </w:p>
    <w:p w14:paraId="3819B1FC" w14:textId="16390E04" w:rsidR="00877605" w:rsidRPr="00844820" w:rsidRDefault="00DD252F" w:rsidP="00956135">
      <w:pPr>
        <w:widowControl w:val="0"/>
        <w:pBdr>
          <w:bottom w:val="single" w:sz="4" w:space="13" w:color="FFFFFF"/>
        </w:pBdr>
        <w:spacing w:before="120" w:after="120" w:line="264" w:lineRule="auto"/>
        <w:rPr>
          <w:rFonts w:eastAsia="Yu Gothic"/>
          <w:b/>
          <w:bCs/>
          <w:sz w:val="28"/>
          <w:szCs w:val="28"/>
        </w:rPr>
      </w:pPr>
      <w:r w:rsidRPr="00844820">
        <w:rPr>
          <w:rFonts w:eastAsia="Yu Gothic"/>
          <w:b/>
          <w:bCs/>
          <w:sz w:val="28"/>
          <w:szCs w:val="28"/>
        </w:rPr>
        <w:t>3. Nội dung cơ bản của dự thảo</w:t>
      </w:r>
      <w:r w:rsidR="00D72641" w:rsidRPr="00844820">
        <w:rPr>
          <w:rFonts w:eastAsia="Yu Gothic"/>
          <w:b/>
          <w:bCs/>
          <w:sz w:val="28"/>
          <w:szCs w:val="28"/>
        </w:rPr>
        <w:t xml:space="preserve"> dự án</w:t>
      </w:r>
      <w:r w:rsidRPr="00844820">
        <w:rPr>
          <w:rFonts w:eastAsia="Yu Gothic"/>
          <w:b/>
          <w:bCs/>
          <w:sz w:val="28"/>
          <w:szCs w:val="28"/>
        </w:rPr>
        <w:t xml:space="preserve"> Luật</w:t>
      </w:r>
    </w:p>
    <w:p w14:paraId="6564C2F7" w14:textId="77777777" w:rsidR="00877605" w:rsidRPr="00844820" w:rsidRDefault="00DD252F" w:rsidP="00956135">
      <w:pPr>
        <w:widowControl w:val="0"/>
        <w:pBdr>
          <w:bottom w:val="single" w:sz="4" w:space="13" w:color="FFFFFF"/>
        </w:pBdr>
        <w:spacing w:before="120" w:after="120" w:line="264" w:lineRule="auto"/>
        <w:rPr>
          <w:sz w:val="28"/>
          <w:szCs w:val="28"/>
        </w:rPr>
      </w:pPr>
      <w:r w:rsidRPr="00844820">
        <w:rPr>
          <w:sz w:val="28"/>
          <w:szCs w:val="28"/>
        </w:rPr>
        <w:t xml:space="preserve">Nội dung cơ bản của dự thảo Luật hướng đến thiết lập khung pháp lý đầy đủ, đồng bộ, chuyên biệt cho giao dịch hàng hóa phái sinh, tập trung vào </w:t>
      </w:r>
      <w:r w:rsidR="00783099" w:rsidRPr="00844820">
        <w:rPr>
          <w:sz w:val="28"/>
          <w:szCs w:val="28"/>
        </w:rPr>
        <w:t xml:space="preserve">05 </w:t>
      </w:r>
      <w:r w:rsidR="00877605" w:rsidRPr="00844820">
        <w:rPr>
          <w:sz w:val="28"/>
          <w:szCs w:val="28"/>
        </w:rPr>
        <w:t>nội dung</w:t>
      </w:r>
      <w:r w:rsidR="00783099" w:rsidRPr="00844820">
        <w:rPr>
          <w:sz w:val="28"/>
          <w:szCs w:val="28"/>
        </w:rPr>
        <w:t xml:space="preserve"> như sau:</w:t>
      </w:r>
    </w:p>
    <w:p w14:paraId="529A9056" w14:textId="77777777" w:rsidR="00877605" w:rsidRPr="00844820" w:rsidRDefault="00DD252F" w:rsidP="00956135">
      <w:pPr>
        <w:widowControl w:val="0"/>
        <w:pBdr>
          <w:bottom w:val="single" w:sz="4" w:space="13" w:color="FFFFFF"/>
        </w:pBdr>
        <w:spacing w:before="120" w:after="120" w:line="264" w:lineRule="auto"/>
        <w:rPr>
          <w:b/>
          <w:bCs/>
          <w:sz w:val="28"/>
          <w:szCs w:val="28"/>
        </w:rPr>
      </w:pPr>
      <w:r w:rsidRPr="00844820">
        <w:rPr>
          <w:b/>
          <w:bCs/>
          <w:sz w:val="28"/>
          <w:szCs w:val="28"/>
        </w:rPr>
        <w:t>3.</w:t>
      </w:r>
      <w:r w:rsidRPr="00844820">
        <w:rPr>
          <w:b/>
          <w:bCs/>
          <w:sz w:val="28"/>
          <w:szCs w:val="28"/>
          <w:lang w:val="vi-VN"/>
        </w:rPr>
        <w:t xml:space="preserve">1. </w:t>
      </w:r>
      <w:bookmarkStart w:id="2" w:name="_Hlk229654366"/>
      <w:r w:rsidRPr="00844820">
        <w:rPr>
          <w:b/>
          <w:bCs/>
          <w:sz w:val="28"/>
          <w:szCs w:val="28"/>
          <w:lang w:val="vi-VN"/>
        </w:rPr>
        <w:t>Xây dựng các quy định nhằm xác định rõ phạm vi điều chỉnh, nguyên tắc, mối quan hệ với Luật khác có liên quan và các quy định khác để đảm bảo định hướng chung hoạt động thị trường giao dịch hàng hóa phái sinh</w:t>
      </w:r>
      <w:bookmarkEnd w:id="2"/>
    </w:p>
    <w:p w14:paraId="30168D78" w14:textId="77777777" w:rsidR="00877605" w:rsidRPr="00844820" w:rsidRDefault="00DD252F" w:rsidP="00956135">
      <w:pPr>
        <w:widowControl w:val="0"/>
        <w:pBdr>
          <w:bottom w:val="single" w:sz="4" w:space="13" w:color="FFFFFF"/>
        </w:pBdr>
        <w:spacing w:before="120" w:after="120" w:line="264" w:lineRule="auto"/>
        <w:rPr>
          <w:b/>
          <w:bCs/>
          <w:i/>
          <w:sz w:val="28"/>
          <w:szCs w:val="28"/>
        </w:rPr>
      </w:pPr>
      <w:r w:rsidRPr="00844820">
        <w:rPr>
          <w:b/>
          <w:bCs/>
          <w:i/>
          <w:sz w:val="28"/>
          <w:szCs w:val="28"/>
        </w:rPr>
        <w:t>Thứ nhất, về phạm vi hoạt động giao dịch hàng hóa phái sinh chịu sự điều chỉnh của Luật</w:t>
      </w:r>
    </w:p>
    <w:p w14:paraId="563E8284" w14:textId="77777777" w:rsidR="00877605" w:rsidRPr="00844820" w:rsidRDefault="00DD252F" w:rsidP="00956135">
      <w:pPr>
        <w:widowControl w:val="0"/>
        <w:pBdr>
          <w:bottom w:val="single" w:sz="4" w:space="13" w:color="FFFFFF"/>
        </w:pBdr>
        <w:spacing w:before="120" w:after="120" w:line="264" w:lineRule="auto"/>
        <w:rPr>
          <w:b/>
          <w:bCs/>
          <w:sz w:val="28"/>
          <w:szCs w:val="28"/>
        </w:rPr>
      </w:pPr>
      <w:r w:rsidRPr="00844820">
        <w:rPr>
          <w:sz w:val="28"/>
          <w:szCs w:val="28"/>
        </w:rPr>
        <w:t>- Luật điều chỉnh các hoạt động giao dịch hàng hóa phái sinh được thực hiện thông qua Sở giao dịch hàng hóa và giao dịch hàng hóa phái sinh OTC, trong đó phân định rõ bản chất pháp lý, phương thức giao dịch và cơ chế quản lý đối với từng loại giao dịch.</w:t>
      </w:r>
    </w:p>
    <w:p w14:paraId="46D44C29" w14:textId="77777777" w:rsidR="00877605" w:rsidRPr="00844820" w:rsidRDefault="00DD252F" w:rsidP="00956135">
      <w:pPr>
        <w:widowControl w:val="0"/>
        <w:pBdr>
          <w:bottom w:val="single" w:sz="4" w:space="13" w:color="FFFFFF"/>
        </w:pBdr>
        <w:spacing w:before="120" w:after="120" w:line="264" w:lineRule="auto"/>
        <w:rPr>
          <w:b/>
          <w:bCs/>
          <w:sz w:val="28"/>
          <w:szCs w:val="28"/>
        </w:rPr>
      </w:pPr>
      <w:r w:rsidRPr="00844820">
        <w:rPr>
          <w:sz w:val="28"/>
          <w:szCs w:val="28"/>
        </w:rPr>
        <w:t>+  Giao dịch hàng hóa phái sinh tập trung (qua Sở giao dịch hàng hóa) là các giao dịch được thực hiện trên hệ thống giao dịch tập trung của Sở giao dịch hàng hóa đối với các hợp đồng được tiêu chuẩn hóa về điều khoản giao dịch, phương thức thanh toán, cơ chế ký quỹ, bù trừ và quản lý rủi ro.</w:t>
      </w:r>
    </w:p>
    <w:p w14:paraId="189F07E9" w14:textId="77777777" w:rsidR="00273833" w:rsidRPr="00844820" w:rsidRDefault="00DD252F" w:rsidP="00956135">
      <w:pPr>
        <w:widowControl w:val="0"/>
        <w:pBdr>
          <w:bottom w:val="single" w:sz="4" w:space="13" w:color="FFFFFF"/>
        </w:pBdr>
        <w:spacing w:before="120" w:after="120" w:line="264" w:lineRule="auto"/>
        <w:rPr>
          <w:sz w:val="28"/>
          <w:szCs w:val="28"/>
        </w:rPr>
      </w:pPr>
      <w:r w:rsidRPr="00844820">
        <w:rPr>
          <w:sz w:val="28"/>
          <w:szCs w:val="28"/>
        </w:rPr>
        <w:t xml:space="preserve">+ </w:t>
      </w:r>
      <w:r w:rsidR="00273833" w:rsidRPr="00844820">
        <w:rPr>
          <w:sz w:val="28"/>
          <w:szCs w:val="28"/>
        </w:rPr>
        <w:t>Giao dịch hàng hóa phái sinh OTC là giao dịch hàng hóa phái sinh được xác lập theo phương thức thỏa thuận, không thực hiện trên hệ thống giao dịch tập trung của Sở giao dịch hàng hóa. Các giao dịch này thuộc phạm vi điều chỉnh của Luật và thực hiện nghĩa vụ báo cáo, giám sát theo quy định. Các bên được thỏa thuận về hàng hóa cơ sở, loại hợp đồng, khối lượng giao dịch, giá giao dịch, thời hạn hợp đồng, phương thức thanh toán, biện pháp bảo đảm thực hiện nghĩa vụ, lựa chọn luật điều chỉnh, cơ chế giải quyết tranh chấp và bù trừ chấm dứt nghĩa vụ theo quy định của pháp luật.</w:t>
      </w:r>
    </w:p>
    <w:p w14:paraId="4C87DB3A" w14:textId="637FE646" w:rsidR="00877605" w:rsidRPr="00844820" w:rsidRDefault="009841C8" w:rsidP="00956135">
      <w:pPr>
        <w:widowControl w:val="0"/>
        <w:pBdr>
          <w:bottom w:val="single" w:sz="4" w:space="13" w:color="FFFFFF"/>
        </w:pBdr>
        <w:spacing w:before="120" w:after="120" w:line="264" w:lineRule="auto"/>
        <w:rPr>
          <w:b/>
          <w:bCs/>
          <w:sz w:val="28"/>
          <w:szCs w:val="28"/>
        </w:rPr>
      </w:pPr>
      <w:r w:rsidRPr="00844820">
        <w:rPr>
          <w:sz w:val="28"/>
          <w:szCs w:val="28"/>
        </w:rPr>
        <w:t xml:space="preserve">Tổ chức trung gian cung cấp dịch vụ trên thị trường hàng hóa phái sinh OTC gồm Sở giao dịch hàng hóa, Trung tâm thanh toán bù trừ, thành viên của Sở giao dịch hàng hóa, thành viên của Trung tâm thanh toán bù trừ, tổ chức tín dụng và các tổ chức hợp pháp khác. Các tổ chức trung gian có trách nhiệm tổ chức, hỗ trợ thực hiện giao dịch, cung cấp dịch vụ bù trừ, thanh toán hoặc dịch vụ trung gian khác trên cơ sở trung thực, công bằng, quản lý xung đột lợi ích, thực hiện chế độ báo cáo theo quy định và tuân thủ quy định của Luật và pháp luật có liên quan. </w:t>
      </w:r>
      <w:r w:rsidR="00273833" w:rsidRPr="00844820">
        <w:rPr>
          <w:sz w:val="28"/>
          <w:szCs w:val="28"/>
        </w:rPr>
        <w:t>Chính phủ quy định chi tiết chế độ báo cáo, kết nối dữ liệu và giám sát đối với các chủ thể này.</w:t>
      </w:r>
    </w:p>
    <w:p w14:paraId="50799027" w14:textId="77777777" w:rsidR="00877605" w:rsidRPr="00844820" w:rsidRDefault="00DD252F" w:rsidP="00956135">
      <w:pPr>
        <w:widowControl w:val="0"/>
        <w:pBdr>
          <w:bottom w:val="single" w:sz="4" w:space="13" w:color="FFFFFF"/>
        </w:pBdr>
        <w:spacing w:before="120" w:after="120" w:line="264" w:lineRule="auto"/>
        <w:rPr>
          <w:b/>
          <w:bCs/>
          <w:i/>
          <w:sz w:val="28"/>
          <w:szCs w:val="28"/>
        </w:rPr>
      </w:pPr>
      <w:r w:rsidRPr="00844820">
        <w:rPr>
          <w:b/>
          <w:bCs/>
          <w:i/>
          <w:sz w:val="28"/>
          <w:szCs w:val="28"/>
        </w:rPr>
        <w:t>Thứ hai, về các hoạt động liên quan đến giao dịch hàng hóa phái sinh (bao gồm hoạt động cung ứng dịch vụ của tổ chức tín dụng và các dịch vụ tài chính có liên quan)</w:t>
      </w:r>
    </w:p>
    <w:p w14:paraId="6BF36CAD" w14:textId="77777777" w:rsidR="002617E0" w:rsidRPr="00844820" w:rsidRDefault="002617E0" w:rsidP="00956135">
      <w:pPr>
        <w:widowControl w:val="0"/>
        <w:pBdr>
          <w:bottom w:val="single" w:sz="4" w:space="13" w:color="FFFFFF"/>
        </w:pBdr>
        <w:spacing w:before="120" w:after="120" w:line="264" w:lineRule="auto"/>
        <w:rPr>
          <w:sz w:val="28"/>
          <w:szCs w:val="28"/>
        </w:rPr>
      </w:pPr>
      <w:r w:rsidRPr="00844820">
        <w:rPr>
          <w:sz w:val="28"/>
          <w:szCs w:val="28"/>
        </w:rPr>
        <w:t>Luật điều chỉnh các hoạt động hỗ trợ và phục vụ thị trường giao dịch hàng hóa phái sinh, bao gồm hoạt động môi giới, thanh toán bù trừ, cung cấp thông tin, dữ liệu và các dịch vụ hỗ trợ giao dịch hàng hóa phái sinh khác theo quy định của Luật.</w:t>
      </w:r>
    </w:p>
    <w:p w14:paraId="7BC6489F" w14:textId="41ACCBE5" w:rsidR="00877605" w:rsidRPr="00844820" w:rsidRDefault="002617E0" w:rsidP="00956135">
      <w:pPr>
        <w:widowControl w:val="0"/>
        <w:pBdr>
          <w:bottom w:val="single" w:sz="4" w:space="13" w:color="FFFFFF"/>
        </w:pBdr>
        <w:spacing w:before="120" w:after="120" w:line="264" w:lineRule="auto"/>
        <w:rPr>
          <w:b/>
          <w:bCs/>
          <w:sz w:val="28"/>
          <w:szCs w:val="28"/>
        </w:rPr>
      </w:pPr>
      <w:r w:rsidRPr="00844820">
        <w:rPr>
          <w:sz w:val="28"/>
          <w:szCs w:val="28"/>
        </w:rPr>
        <w:t>Theo đó, các hoạt động giao dịch hàng hóa phái sinh và các dịch vụ hỗ trợ trực tiếp cho hoạt động giao dịch hàng hóa phái sinh thuộc phạm vi điều chỉnh của Luật Giao dịch hàng hóa phái sinh, không phụ thuộc vào loại hình chủ thể cung ứng dịch vụ. Trường hợp tổ chức tín dụng, chi nhánh ngân hàng nước ngoài tham gia, kinh doanh, cung ứng sản phẩm, dịch vụ hàng hóa phái sinh thì thực hiện theo quy định của Luật này trong phạm vi được phép; việc thành lập, tổ chức, hoạt động ngân hàng và các nội dung khác của tổ chức tín dụng, chi nhánh ngân hàng nước ngoài thực hiện theo quy định của pháp luật về các tổ chức tín dụng và pháp luật có liên quan.</w:t>
      </w:r>
    </w:p>
    <w:p w14:paraId="60A8E353" w14:textId="77777777" w:rsidR="00452620" w:rsidRPr="00844820" w:rsidRDefault="00452620" w:rsidP="00956135">
      <w:pPr>
        <w:widowControl w:val="0"/>
        <w:pBdr>
          <w:bottom w:val="single" w:sz="4" w:space="13" w:color="FFFFFF"/>
        </w:pBdr>
        <w:spacing w:before="120" w:after="120" w:line="264" w:lineRule="auto"/>
        <w:rPr>
          <w:b/>
          <w:bCs/>
          <w:i/>
          <w:sz w:val="28"/>
          <w:szCs w:val="28"/>
        </w:rPr>
      </w:pPr>
      <w:r w:rsidRPr="00844820">
        <w:rPr>
          <w:b/>
          <w:bCs/>
          <w:i/>
          <w:sz w:val="28"/>
          <w:szCs w:val="28"/>
        </w:rPr>
        <w:t>Thứ ba, về phạm vi hàng hóa cơ sở</w:t>
      </w:r>
    </w:p>
    <w:p w14:paraId="2AAAE56C" w14:textId="77777777" w:rsidR="00452620" w:rsidRPr="00844820" w:rsidRDefault="00452620" w:rsidP="00956135">
      <w:pPr>
        <w:widowControl w:val="0"/>
        <w:pBdr>
          <w:bottom w:val="single" w:sz="4" w:space="13" w:color="FFFFFF"/>
        </w:pBdr>
        <w:spacing w:before="120" w:after="120" w:line="264" w:lineRule="auto"/>
        <w:rPr>
          <w:bCs/>
          <w:sz w:val="28"/>
          <w:szCs w:val="28"/>
        </w:rPr>
      </w:pPr>
      <w:r w:rsidRPr="00844820">
        <w:rPr>
          <w:bCs/>
          <w:sz w:val="28"/>
          <w:szCs w:val="28"/>
        </w:rPr>
        <w:t>Luật quy định hàng hóa cơ sở của giao dịch hàng hóa phái sinh là hàng hóa hoặc chỉ số giá hàng hóa được sử dụng làm đối tượng tham chiếu để xác định giá, quyền và nghĩa vụ phát sinh từ giao dịch hàng hóa phái sinh.</w:t>
      </w:r>
    </w:p>
    <w:p w14:paraId="488D0F75" w14:textId="77777777" w:rsidR="00452620" w:rsidRPr="00844820" w:rsidRDefault="00452620" w:rsidP="00956135">
      <w:pPr>
        <w:widowControl w:val="0"/>
        <w:pBdr>
          <w:bottom w:val="single" w:sz="4" w:space="13" w:color="FFFFFF"/>
        </w:pBdr>
        <w:spacing w:before="120" w:after="120" w:line="264" w:lineRule="auto"/>
        <w:rPr>
          <w:bCs/>
          <w:sz w:val="28"/>
          <w:szCs w:val="28"/>
        </w:rPr>
      </w:pPr>
      <w:r w:rsidRPr="00844820">
        <w:rPr>
          <w:bCs/>
          <w:sz w:val="28"/>
          <w:szCs w:val="28"/>
        </w:rPr>
        <w:t>Đối với hàng hóa cơ sở thuộc phạm vi điều chỉnh của pháp luật chuyên ngành, Bộ Công Thương đã rà soát và nhận thấy một số luật chuyên ngành đã có quy định liên quan đến thị trường, hoạt động giao dịch hoặc một số loại hợp đồng đối với hàng hóa thuộc lĩnh vực quản lý chuyên ngành (như điện năng). Tuy nhiên, phạm vi, mục tiêu điều chỉnh và mức độ hoàn thiện của từng khuôn khổ pháp lý là khác nhau.</w:t>
      </w:r>
    </w:p>
    <w:p w14:paraId="41A0785E" w14:textId="77777777" w:rsidR="00452620" w:rsidRPr="00844820" w:rsidRDefault="00452620" w:rsidP="00956135">
      <w:pPr>
        <w:widowControl w:val="0"/>
        <w:pBdr>
          <w:bottom w:val="single" w:sz="4" w:space="13" w:color="FFFFFF"/>
        </w:pBdr>
        <w:spacing w:before="120" w:after="120" w:line="264" w:lineRule="auto"/>
        <w:rPr>
          <w:bCs/>
          <w:sz w:val="28"/>
          <w:szCs w:val="28"/>
        </w:rPr>
      </w:pPr>
      <w:r w:rsidRPr="00844820">
        <w:rPr>
          <w:bCs/>
          <w:sz w:val="28"/>
          <w:szCs w:val="28"/>
        </w:rPr>
        <w:t>Đối với lĩnh vực điện năng, Luật Điện lực đã có quy định về các cấp độ thị trường điện và một số loại hợp đồng giao dịch điện trên thị trường điện. Do đó, đối với những nội dung đã được Luật Điện lực và pháp luật chuyên ngành về điện lực quy định thì thực hiện theo quy định của pháp luật điện lực. Đối với các nội dung liên quan đến giao dịch hàng hóa phái sinh mà pháp luật điện lực chưa có quy định hoặc chưa quy định đầy đủ thì áp dụng theo quy định của Luật Giao dịch hàng hóa phái sinh.</w:t>
      </w:r>
    </w:p>
    <w:p w14:paraId="7B3F8440" w14:textId="77777777" w:rsidR="00452620" w:rsidRPr="00844820" w:rsidRDefault="00452620" w:rsidP="00956135">
      <w:pPr>
        <w:widowControl w:val="0"/>
        <w:pBdr>
          <w:bottom w:val="single" w:sz="4" w:space="13" w:color="FFFFFF"/>
        </w:pBdr>
        <w:spacing w:before="120" w:after="120" w:line="264" w:lineRule="auto"/>
        <w:rPr>
          <w:bCs/>
          <w:sz w:val="28"/>
          <w:szCs w:val="28"/>
        </w:rPr>
      </w:pPr>
      <w:r w:rsidRPr="00844820">
        <w:rPr>
          <w:bCs/>
          <w:sz w:val="28"/>
          <w:szCs w:val="28"/>
        </w:rPr>
        <w:t>Theo đó, đối với hàng hóa cơ sở mà pháp luật chuyên ngành đã có quy định riêng thì thực hiện theo pháp luật chuyên ngành; đối với các nội dung chưa được pháp luật chuyên ngành quy định hoặc cần áp dụng các cơ chế đặc thù của thị trường giao dịch hàng hóa phái sinh thì thực hiện theo quy định của Luật Giao dịch hàng hóa phái sinh.</w:t>
      </w:r>
    </w:p>
    <w:p w14:paraId="6494CC73" w14:textId="38F9F596" w:rsidR="00877605" w:rsidRPr="00844820" w:rsidRDefault="00452620" w:rsidP="00956135">
      <w:pPr>
        <w:widowControl w:val="0"/>
        <w:pBdr>
          <w:bottom w:val="single" w:sz="4" w:space="13" w:color="FFFFFF"/>
        </w:pBdr>
        <w:spacing w:before="120" w:after="120" w:line="264" w:lineRule="auto"/>
        <w:rPr>
          <w:b/>
          <w:bCs/>
          <w:sz w:val="28"/>
          <w:szCs w:val="28"/>
        </w:rPr>
      </w:pPr>
      <w:r w:rsidRPr="00844820">
        <w:rPr>
          <w:bCs/>
          <w:sz w:val="28"/>
          <w:szCs w:val="28"/>
        </w:rPr>
        <w:t>Luật này không áp dụng đối với sản phẩm phái sinh thuộc phạm vi điều chỉnh của pháp luật về chứng khoán, tiền tệ, ngoại hối, vàng và các lĩnh vực tài chính chuyên ngành khác.</w:t>
      </w:r>
    </w:p>
    <w:p w14:paraId="07E2B4E7" w14:textId="684F510F" w:rsidR="00A10460" w:rsidRPr="00844820" w:rsidRDefault="00DD252F" w:rsidP="00956135">
      <w:pPr>
        <w:widowControl w:val="0"/>
        <w:spacing w:before="120" w:after="120" w:line="264" w:lineRule="auto"/>
        <w:rPr>
          <w:b/>
          <w:bCs/>
          <w:i/>
          <w:sz w:val="28"/>
          <w:szCs w:val="28"/>
        </w:rPr>
      </w:pPr>
      <w:r w:rsidRPr="00844820">
        <w:rPr>
          <w:b/>
          <w:bCs/>
          <w:i/>
          <w:sz w:val="28"/>
          <w:szCs w:val="28"/>
        </w:rPr>
        <w:t>Thứ tư, đối với trường hợp giao dịch hàng hóa phái sinh có dẫn đến giao nhận hàng hóa thực tế:</w:t>
      </w:r>
    </w:p>
    <w:p w14:paraId="0A314C0E" w14:textId="58B3E19A" w:rsidR="00A10460" w:rsidRPr="00844820" w:rsidRDefault="00A10460" w:rsidP="00956135">
      <w:pPr>
        <w:widowControl w:val="0"/>
        <w:spacing w:before="120" w:after="120" w:line="264" w:lineRule="auto"/>
        <w:rPr>
          <w:sz w:val="28"/>
          <w:szCs w:val="28"/>
        </w:rPr>
      </w:pPr>
      <w:r w:rsidRPr="00844820">
        <w:rPr>
          <w:sz w:val="28"/>
          <w:szCs w:val="28"/>
        </w:rPr>
        <w:t>Các giao dịch được xác lập hợp pháp trên hệ thống giao dịch của Sở giao dịch hàng hóa, bao gồm quá trình từ đặt lệnh, khớp lệnh, xác nhận giao dịch, thanh toán bù trừ, quản lý vị thế đến tất toán hoặc thực hiện giao nhận hàng hóa, có giá trị pháp lý và ràng buộc đối với các bên tham gia theo quy định của Luật.</w:t>
      </w:r>
    </w:p>
    <w:p w14:paraId="647ABD82" w14:textId="77777777" w:rsidR="00A10460" w:rsidRPr="00844820" w:rsidRDefault="00A10460" w:rsidP="00956135">
      <w:pPr>
        <w:widowControl w:val="0"/>
        <w:spacing w:before="120" w:after="120" w:line="264" w:lineRule="auto"/>
        <w:rPr>
          <w:sz w:val="28"/>
          <w:szCs w:val="28"/>
        </w:rPr>
      </w:pPr>
      <w:r w:rsidRPr="00844820">
        <w:rPr>
          <w:sz w:val="28"/>
          <w:szCs w:val="28"/>
        </w:rPr>
        <w:t>Trường hợp hợp đồng hàng hóa phái sinh được thực hiện bằng phương thức giao nhận vật chất, hồ sơ, tài liệu qua Sở giao dịch hàng hóa có giá trị pháp lý để thực hiện hoạt động giao nhận hàng hóa theo quy định của pháp luật về thương mại, hải quan và quản lý ngoại thương. Việc giao nhận hàng hóa, chuyển quyền sở hữu, xuất khẩu, nhập khẩu, kiểm tra chuyên ngành và các thủ tục có liên quan được thực hiện theo quy định của pháp luật chuyên ngành tương ứng.</w:t>
      </w:r>
    </w:p>
    <w:p w14:paraId="4ECB3057" w14:textId="5156BB8B" w:rsidR="00DD252F" w:rsidRPr="00844820" w:rsidRDefault="00A10460" w:rsidP="00956135">
      <w:pPr>
        <w:widowControl w:val="0"/>
        <w:spacing w:before="120" w:after="120" w:line="264" w:lineRule="auto"/>
      </w:pPr>
      <w:r w:rsidRPr="00844820">
        <w:rPr>
          <w:sz w:val="28"/>
          <w:szCs w:val="28"/>
        </w:rPr>
        <w:t>Quy định này nhằm bảo đảm sự liên thông giữa thị trường giao dịch hàng hóa phái sinh và hoạt động mua bán hàng hóa thực tế, đồng thời tạo thuận lợi cho hoạt động sản xuất, kinh doanh của doanh nghiệp.</w:t>
      </w:r>
    </w:p>
    <w:p w14:paraId="640A4C79" w14:textId="77777777" w:rsidR="00DD252F" w:rsidRPr="00844820" w:rsidRDefault="00DD252F" w:rsidP="00956135">
      <w:pPr>
        <w:widowControl w:val="0"/>
        <w:spacing w:before="120" w:after="120" w:line="264" w:lineRule="auto"/>
        <w:rPr>
          <w:b/>
          <w:bCs/>
          <w:i/>
          <w:sz w:val="28"/>
          <w:szCs w:val="28"/>
        </w:rPr>
      </w:pPr>
      <w:r w:rsidRPr="00844820">
        <w:rPr>
          <w:b/>
          <w:bCs/>
          <w:i/>
          <w:sz w:val="28"/>
          <w:szCs w:val="28"/>
        </w:rPr>
        <w:t>Thứ năm, về nguyên tắc áp dụng pháp luật</w:t>
      </w:r>
    </w:p>
    <w:p w14:paraId="1FF6A630" w14:textId="07659CE4" w:rsidR="00F74E45" w:rsidRPr="00844820" w:rsidRDefault="00F74E45" w:rsidP="00956135">
      <w:pPr>
        <w:widowControl w:val="0"/>
        <w:spacing w:before="120" w:after="120" w:line="264" w:lineRule="auto"/>
        <w:rPr>
          <w:sz w:val="28"/>
          <w:szCs w:val="28"/>
        </w:rPr>
      </w:pPr>
      <w:r w:rsidRPr="00844820">
        <w:rPr>
          <w:sz w:val="28"/>
          <w:szCs w:val="28"/>
        </w:rPr>
        <w:t>Dự thảo Luật được xây dựng theo hướng xác định rõ mối quan hệ giữa Luật Giao dịch hàng hóa phái sinh với các luật có liên quan, bảo đảm tính thống nhất, đồng bộ của hệ thống pháp luật và phù hợp với tính chất đặc thù của hoạt động giao dịch hàng hóa phái sinh.</w:t>
      </w:r>
    </w:p>
    <w:p w14:paraId="04915821" w14:textId="6101DFE1" w:rsidR="00F74E45" w:rsidRPr="00844820" w:rsidRDefault="00F74E45" w:rsidP="00956135">
      <w:pPr>
        <w:widowControl w:val="0"/>
        <w:spacing w:before="120" w:after="120" w:line="264" w:lineRule="auto"/>
        <w:rPr>
          <w:sz w:val="28"/>
          <w:szCs w:val="28"/>
        </w:rPr>
      </w:pPr>
      <w:r w:rsidRPr="00844820">
        <w:rPr>
          <w:sz w:val="28"/>
          <w:szCs w:val="28"/>
        </w:rPr>
        <w:t>Đối với các vấn đề đặc thù về tổ chức và hoạt động của thị trường giao dịch hàng hóa phái sinh, bao gồm tổ chức thị trường, giao dịch, thanh toán bù trừ, ký quỹ, quản lý vị thế, quản trị rủi ro, giám sát thị trường và các hoạt động có liên quan thì thực hiện theo quy định của Luật Giao dịch hàng hóa phái sinh.</w:t>
      </w:r>
    </w:p>
    <w:p w14:paraId="19278668" w14:textId="77777777" w:rsidR="00F74E45" w:rsidRPr="00844820" w:rsidRDefault="00F74E45" w:rsidP="00956135">
      <w:pPr>
        <w:widowControl w:val="0"/>
        <w:spacing w:before="120" w:after="120" w:line="264" w:lineRule="auto"/>
        <w:rPr>
          <w:sz w:val="28"/>
          <w:szCs w:val="28"/>
        </w:rPr>
      </w:pPr>
      <w:r w:rsidRPr="00844820">
        <w:rPr>
          <w:sz w:val="28"/>
          <w:szCs w:val="28"/>
        </w:rPr>
        <w:t>Đối với các quan hệ về dân sự, thương mại, ngân hàng, thanh toán, ngoại hối, thuế, kế toán, hải quan, quản lý ngoại thương và các lĩnh vực chuyên ngành khác mà Luật Giao dịch hàng hóa phái sinh không quy định thì thực hiện theo quy định của pháp luật có liên quan. Trường hợp pháp luật chuyên ngành có quy định riêng đối với hàng hóa cơ sở hoặc hoạt động có liên quan thì thực hiện theo quy định của pháp luật chuyên ngành; việc tổ chức giao dịch hàng hóa phái sinh đối với hàng hóa cơ sở đó thực hiện theo quy định của Luật Giao dịch hàng hóa phái sinh và pháp luật có liên quan.</w:t>
      </w:r>
    </w:p>
    <w:p w14:paraId="1311C3A5" w14:textId="77777777" w:rsidR="00F74E45" w:rsidRPr="00844820" w:rsidRDefault="00F74E45" w:rsidP="00956135">
      <w:pPr>
        <w:widowControl w:val="0"/>
        <w:spacing w:before="120" w:after="120" w:line="264" w:lineRule="auto"/>
        <w:rPr>
          <w:sz w:val="28"/>
          <w:szCs w:val="28"/>
        </w:rPr>
      </w:pPr>
      <w:r w:rsidRPr="00844820">
        <w:rPr>
          <w:sz w:val="28"/>
          <w:szCs w:val="28"/>
        </w:rPr>
        <w:t>Trường hợp giao dịch hàng hóa phái sinh dẫn đến việc giao nhận hàng hóa thực tế thì việc giao nhận hàng hóa, chuyển quyền sở hữu hàng hóa, lưu thông hàng hóa và các hoạt động thương mại phát sinh từ việc giao nhận hàng hóa thực hiện theo quy định của pháp luật có liên quan.</w:t>
      </w:r>
    </w:p>
    <w:p w14:paraId="1C47A674" w14:textId="77777777" w:rsidR="00F74E45" w:rsidRPr="00844820" w:rsidRDefault="00F74E45" w:rsidP="00956135">
      <w:pPr>
        <w:widowControl w:val="0"/>
        <w:spacing w:before="120" w:after="120" w:line="264" w:lineRule="auto"/>
        <w:rPr>
          <w:sz w:val="28"/>
          <w:szCs w:val="28"/>
        </w:rPr>
      </w:pPr>
      <w:r w:rsidRPr="00844820">
        <w:rPr>
          <w:sz w:val="28"/>
          <w:szCs w:val="28"/>
        </w:rPr>
        <w:t>Đối với việc thành lập và hoạt động của Sở giao dịch hàng hóa, Trung tâm thanh toán bù trừ và các chủ thể cung cấp dịch vụ trong Trung tâm tài chính quốc tế tại Việt Nam, việc áp dụng pháp luật được thực hiện theo quy định của Nghị quyết số 222/2025/QH15 của Quốc hội, Nghị định số 330/2025/NĐ-CP của Chính phủ và các văn bản quy phạm pháp luật có liên quan. Trường hợp Luật Giao dịch hàng hóa phái sinh hoặc các văn bản quy định chi tiết có quy định cơ chế, chính sách đặc thù, ưu đãi hoặc thuận lợi hơn cho hoạt động giao dịch hàng hóa phái sinh trong Trung tâm tài chính quốc tế thì được áp dụng theo quy định đó.</w:t>
      </w:r>
    </w:p>
    <w:p w14:paraId="3E9869E8" w14:textId="303628A3" w:rsidR="00DD252F" w:rsidRPr="00844820" w:rsidRDefault="00F74E45" w:rsidP="00956135">
      <w:pPr>
        <w:widowControl w:val="0"/>
        <w:spacing w:before="120" w:after="120" w:line="264" w:lineRule="auto"/>
        <w:rPr>
          <w:sz w:val="28"/>
          <w:szCs w:val="28"/>
        </w:rPr>
      </w:pPr>
      <w:r w:rsidRPr="00844820">
        <w:rPr>
          <w:sz w:val="28"/>
          <w:szCs w:val="28"/>
        </w:rPr>
        <w:t>Việc xác định nguyên tắc áp dụng pháp luật nêu trên nhằm bảo đảm Luật Giao dịch hàng hóa phái sinh tập trung điều chỉnh các quan hệ đặc thù của thị trường giao dịch hàng hóa phái sinh, đồng thời không làm thay đổi hoặc thay thế các quy định của pháp luật chuyên ngành đối với hàng hóa cơ sở và các hoạt động thuộc phạm vi quản lý chuyên ngành.</w:t>
      </w:r>
    </w:p>
    <w:p w14:paraId="0C77AB2A" w14:textId="76E44326" w:rsidR="00DD252F" w:rsidRPr="00844820" w:rsidRDefault="00DD252F" w:rsidP="00956135">
      <w:pPr>
        <w:pStyle w:val="NormalWeb"/>
        <w:widowControl w:val="0"/>
        <w:tabs>
          <w:tab w:val="left" w:pos="993"/>
        </w:tabs>
        <w:spacing w:before="120" w:beforeAutospacing="0" w:after="120" w:afterAutospacing="0" w:line="264" w:lineRule="auto"/>
        <w:ind w:firstLine="720"/>
        <w:jc w:val="both"/>
        <w:rPr>
          <w:b/>
          <w:bCs/>
          <w:sz w:val="28"/>
          <w:szCs w:val="28"/>
        </w:rPr>
      </w:pPr>
      <w:r w:rsidRPr="00844820">
        <w:rPr>
          <w:b/>
          <w:bCs/>
          <w:sz w:val="28"/>
          <w:szCs w:val="28"/>
          <w:lang w:val="en-GB" w:eastAsia="en-GB"/>
        </w:rPr>
        <w:t xml:space="preserve">2. </w:t>
      </w:r>
      <w:bookmarkStart w:id="3" w:name="_Hlk229654894"/>
      <w:r w:rsidRPr="00844820">
        <w:rPr>
          <w:b/>
          <w:bCs/>
          <w:sz w:val="28"/>
          <w:szCs w:val="28"/>
        </w:rPr>
        <w:t>Quy định về sản phẩm, phương thức giao dịch và chủ thể tham gia thị trường đảm bảo phù hợp với thông lệ quốc tế</w:t>
      </w:r>
      <w:bookmarkEnd w:id="3"/>
    </w:p>
    <w:p w14:paraId="65EE27EC" w14:textId="77777777" w:rsidR="00DD252F" w:rsidRPr="00844820" w:rsidRDefault="00DD252F" w:rsidP="00956135">
      <w:pPr>
        <w:pStyle w:val="NormalWeb"/>
        <w:widowControl w:val="0"/>
        <w:tabs>
          <w:tab w:val="left" w:pos="993"/>
        </w:tabs>
        <w:spacing w:before="120" w:beforeAutospacing="0" w:after="120" w:afterAutospacing="0" w:line="264" w:lineRule="auto"/>
        <w:ind w:firstLine="720"/>
        <w:jc w:val="both"/>
        <w:rPr>
          <w:b/>
          <w:bCs/>
          <w:i/>
          <w:sz w:val="28"/>
          <w:szCs w:val="28"/>
        </w:rPr>
      </w:pPr>
      <w:r w:rsidRPr="00844820">
        <w:rPr>
          <w:b/>
          <w:bCs/>
          <w:i/>
          <w:sz w:val="28"/>
          <w:szCs w:val="28"/>
        </w:rPr>
        <w:t>Về sản phẩm giao dịch và phương thức giao dịch:</w:t>
      </w:r>
    </w:p>
    <w:p w14:paraId="7C7E7561" w14:textId="2D67E6D0" w:rsidR="00DD252F" w:rsidRPr="00844820" w:rsidRDefault="00DD252F"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xml:space="preserve">- </w:t>
      </w:r>
      <w:r w:rsidR="00BD12D2" w:rsidRPr="00844820">
        <w:rPr>
          <w:sz w:val="28"/>
          <w:szCs w:val="28"/>
        </w:rPr>
        <w:t>Quy định khung pháp lý đối với các sản phẩm giao dịch hàng hóa phái sinh theo hướng đầy đủ, phù hợp với thông lệ quốc tế và đáp ứng yêu cầu phát triển của thị trường. Theo đó, hàng hóa phái sinh bao gồm hợp đồng kỳ hạn, hợp đồng tương lai, hợp đồng quyền chọn, hợp đồng hoán đổi, hợp đồng chênh lệch và các hợp đồng phái sinh khác.</w:t>
      </w:r>
    </w:p>
    <w:p w14:paraId="1A69F29E" w14:textId="2DB89CD4" w:rsidR="00DD252F" w:rsidRPr="00844820" w:rsidRDefault="00DD252F"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xml:space="preserve">- </w:t>
      </w:r>
      <w:r w:rsidR="00C45A88" w:rsidRPr="00844820">
        <w:rPr>
          <w:sz w:val="28"/>
          <w:szCs w:val="28"/>
        </w:rPr>
        <w:t>Quy định các nguyên tắc về niêm yết, hủy niêm yết hợp đồng hàng hóa phái sinh và chuẩn hóa hợp đồng giao dịch, bao gồm các nội dung cơ bản như hàng hóa cơ sở, đơn vị giao dịch, quy mô hợp đồng, tháng đáo hạn, bước giá, phương thức thanh toán, phương thức giao nhận, địa điểm giao nhận, cơ chế ký quỹ, thanh toán bù trừ và tất toán hợp đồng; giao Chính phủ quy định chi tiết điều kiện, trình tự, thủ tục niêm yết và hủy niêm yết hợp đồng hàng hóa phái sinh.</w:t>
      </w:r>
    </w:p>
    <w:p w14:paraId="6D8D4BEC" w14:textId="0E576E0F" w:rsidR="00DD252F" w:rsidRPr="00844820" w:rsidRDefault="00DD252F"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xml:space="preserve">- </w:t>
      </w:r>
      <w:r w:rsidR="00FB70BD" w:rsidRPr="00844820">
        <w:rPr>
          <w:sz w:val="28"/>
          <w:szCs w:val="28"/>
        </w:rPr>
        <w:t>Quy định các phương thức giao dịch hàng hóa phái sinh, bao gồm giao dịch tập trung qua Sở giao dịch hàng hóa và giao dịch hàng hóa phái sinh OTC; đồng thời xác lập nguyên tắc quản lý, báo cáo, giám sát phù hợp đối với từng phương thức giao dịch nhằm bảo đảm tính minh bạch, an toàn và hiệu quả của thị trường.</w:t>
      </w:r>
    </w:p>
    <w:p w14:paraId="60A6833C" w14:textId="77777777" w:rsidR="00DD252F" w:rsidRPr="00844820" w:rsidRDefault="00DD252F"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Quy định nguyên tắc phân loại sản phẩm giao dịch theo đặc điểm và mức độ rủi ro để áp dụng cơ chế quản lý, giám sát tương ứng; khuyến khích phát triển các sản phẩm phục vụ nhu cầu phòng ngừa rủi ro giá hàng hóa của doanh nghiệp, đồng thời kiểm soát chặt chẽ đối với các sản phẩm có cấu trúc phức tạp hoặc tiềm ẩn nguy cơ ảnh hưởng đến an toàn và ổn định của thị trường.</w:t>
      </w:r>
    </w:p>
    <w:p w14:paraId="5D876EBA" w14:textId="4B25EE52" w:rsidR="00C45A88" w:rsidRPr="00844820" w:rsidRDefault="00DD252F" w:rsidP="00956135">
      <w:pPr>
        <w:pStyle w:val="NormalWeb"/>
        <w:widowControl w:val="0"/>
        <w:tabs>
          <w:tab w:val="left" w:pos="993"/>
        </w:tabs>
        <w:spacing w:before="120" w:beforeAutospacing="0" w:after="120" w:afterAutospacing="0" w:line="264" w:lineRule="auto"/>
        <w:ind w:firstLine="720"/>
        <w:jc w:val="both"/>
        <w:rPr>
          <w:b/>
          <w:bCs/>
          <w:i/>
          <w:sz w:val="28"/>
          <w:szCs w:val="28"/>
        </w:rPr>
      </w:pPr>
      <w:r w:rsidRPr="00844820">
        <w:rPr>
          <w:b/>
          <w:bCs/>
          <w:i/>
          <w:sz w:val="28"/>
          <w:szCs w:val="28"/>
        </w:rPr>
        <w:t>Về chủ thể tham gia thị trường</w:t>
      </w:r>
    </w:p>
    <w:p w14:paraId="5B51EC95" w14:textId="77777777" w:rsidR="00C45A88" w:rsidRPr="00844820" w:rsidRDefault="00C45A88"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Quy định địa vị pháp lý, điều kiện tham gia, quyền, nghĩa vụ và trách nhiệm của Sở giao dịch hàng hóa, Trung tâm thanh toán bù trừ, các thành viên, nhà đầu tư và các tổ chức cung cấp dịch vụ có liên quan; quy định cơ chế tạo lập thị trường nhằm hỗ trợ thanh khoản và nâng cao hiệu quả hoạt động của thị trường.</w:t>
      </w:r>
    </w:p>
    <w:p w14:paraId="6BFF7A76" w14:textId="120DAB0A" w:rsidR="00C45A88" w:rsidRPr="00844820" w:rsidRDefault="00C45A88"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Quy định phân loại nhà đầu tư chuyên nghiệp và nhà đầu tư không chuyên nghiệp để áp dụng phạm vi sản phẩm, yêu cầu quản lý rủi ro và cơ chế bảo vệ phù hợp.</w:t>
      </w:r>
    </w:p>
    <w:p w14:paraId="46042ED0" w14:textId="31D81665" w:rsidR="00DD252F" w:rsidRPr="00844820" w:rsidRDefault="00C45A88" w:rsidP="00956135">
      <w:pPr>
        <w:pStyle w:val="NormalWeb"/>
        <w:widowControl w:val="0"/>
        <w:tabs>
          <w:tab w:val="left" w:pos="993"/>
        </w:tabs>
        <w:spacing w:before="120" w:beforeAutospacing="0" w:after="120" w:afterAutospacing="0" w:line="264" w:lineRule="auto"/>
        <w:ind w:firstLine="720"/>
        <w:jc w:val="both"/>
        <w:rPr>
          <w:sz w:val="28"/>
          <w:szCs w:val="28"/>
        </w:rPr>
      </w:pPr>
      <w:r w:rsidRPr="00844820">
        <w:rPr>
          <w:sz w:val="28"/>
          <w:szCs w:val="28"/>
        </w:rPr>
        <w:t>- Quy định nguyên tắc tham gia thị trường, quyền và nghĩa vụ của nhà đầu tư nước ngoài và các chủ thể nước ngoài phù hợp với pháp luật Việt Nam và điều ước quốc tế mà Việt Nam là thành viên.</w:t>
      </w:r>
    </w:p>
    <w:p w14:paraId="2984AE11" w14:textId="2DF0EF15" w:rsidR="00DD252F" w:rsidRPr="00844820" w:rsidRDefault="00DD252F" w:rsidP="00956135">
      <w:pPr>
        <w:widowControl w:val="0"/>
        <w:spacing w:before="120" w:after="120" w:line="264" w:lineRule="auto"/>
        <w:rPr>
          <w:b/>
          <w:bCs/>
          <w:sz w:val="28"/>
          <w:szCs w:val="28"/>
        </w:rPr>
      </w:pPr>
      <w:r w:rsidRPr="00844820">
        <w:rPr>
          <w:b/>
          <w:bCs/>
          <w:sz w:val="28"/>
          <w:szCs w:val="28"/>
        </w:rPr>
        <w:t>3. Thiết lập hạ tầng thị trường đảm bảo kiểm soát rủi ro, tạo điều kiện thuận lợi cho hoạt động giao dịch hàng hóa phái sinh</w:t>
      </w:r>
    </w:p>
    <w:p w14:paraId="154A1B36" w14:textId="77777777" w:rsidR="00DD252F" w:rsidRPr="00844820" w:rsidRDefault="00DD252F" w:rsidP="00956135">
      <w:pPr>
        <w:widowControl w:val="0"/>
        <w:spacing w:before="120" w:after="120" w:line="264" w:lineRule="auto"/>
        <w:rPr>
          <w:rFonts w:eastAsia="Calibri"/>
          <w:b/>
          <w:bCs/>
          <w:i/>
          <w:sz w:val="28"/>
          <w:szCs w:val="28"/>
        </w:rPr>
      </w:pPr>
      <w:r w:rsidRPr="00844820">
        <w:rPr>
          <w:rFonts w:eastAsia="Calibri"/>
          <w:b/>
          <w:bCs/>
          <w:i/>
          <w:sz w:val="28"/>
          <w:szCs w:val="28"/>
        </w:rPr>
        <w:t>Về hạ tầng thị trường giao dịch hàng hóa phái sinh</w:t>
      </w:r>
    </w:p>
    <w:p w14:paraId="2AA466A9" w14:textId="5B137C41" w:rsidR="00D116B1" w:rsidRPr="00844820" w:rsidRDefault="00DD252F" w:rsidP="00956135">
      <w:pPr>
        <w:widowControl w:val="0"/>
        <w:spacing w:before="120" w:after="120" w:line="264" w:lineRule="auto"/>
        <w:rPr>
          <w:rFonts w:eastAsia="Calibri"/>
          <w:sz w:val="28"/>
          <w:szCs w:val="28"/>
        </w:rPr>
      </w:pPr>
      <w:r w:rsidRPr="00844820">
        <w:rPr>
          <w:rFonts w:eastAsia="Calibri"/>
          <w:sz w:val="28"/>
          <w:szCs w:val="28"/>
        </w:rPr>
        <w:t xml:space="preserve">- </w:t>
      </w:r>
      <w:r w:rsidR="00D116B1" w:rsidRPr="00844820">
        <w:rPr>
          <w:rFonts w:eastAsia="Calibri"/>
          <w:sz w:val="28"/>
          <w:szCs w:val="28"/>
        </w:rPr>
        <w:t>Quy định các nguyên tắc cơ bản về xây dựng, tổ chức và vận hành hạ tầng thị trường giao dịch hàng hóa phái sinh theo hướng đồng bộ, hiện đại, bảo đảm an toàn hệ thống và phù hợp với thông lệ quốc tế.</w:t>
      </w:r>
    </w:p>
    <w:p w14:paraId="19A1FF1C" w14:textId="3C01C6FA" w:rsidR="00DD252F" w:rsidRPr="00844820" w:rsidRDefault="00D116B1" w:rsidP="00956135">
      <w:pPr>
        <w:widowControl w:val="0"/>
        <w:spacing w:before="120" w:after="120" w:line="264" w:lineRule="auto"/>
        <w:rPr>
          <w:rFonts w:eastAsia="Calibri"/>
          <w:sz w:val="28"/>
          <w:szCs w:val="28"/>
        </w:rPr>
      </w:pPr>
      <w:r w:rsidRPr="00844820">
        <w:rPr>
          <w:rFonts w:eastAsia="Calibri"/>
          <w:sz w:val="28"/>
          <w:szCs w:val="28"/>
        </w:rPr>
        <w:t>Hạ tầng thị trường giao dịch hàng hóa phái sinh bao gồm các cấu phần chủ yếu như: Sở giao dịch hàng hóa, Trung tâm thanh toán bù trừ, ngân hàng thanh toán, hệ thống kho bãi và giao nhận hàng hóa, hệ thống dữ liệu và giám sát thị trường cùng các tổ chức cung cấp dịch vụ hỗ trợ thị trường khác theo quy định của pháp luật</w:t>
      </w:r>
      <w:r w:rsidR="00DD252F" w:rsidRPr="00844820">
        <w:rPr>
          <w:rFonts w:eastAsia="Calibri"/>
          <w:sz w:val="28"/>
          <w:szCs w:val="28"/>
        </w:rPr>
        <w:t>.</w:t>
      </w:r>
    </w:p>
    <w:p w14:paraId="76C49203" w14:textId="74A8D30F" w:rsidR="00DD252F" w:rsidRPr="00844820" w:rsidRDefault="00DD252F" w:rsidP="00956135">
      <w:pPr>
        <w:widowControl w:val="0"/>
        <w:spacing w:before="120" w:after="120" w:line="264" w:lineRule="auto"/>
        <w:rPr>
          <w:rFonts w:eastAsia="Calibri"/>
          <w:sz w:val="28"/>
          <w:szCs w:val="28"/>
        </w:rPr>
      </w:pPr>
      <w:r w:rsidRPr="00844820">
        <w:rPr>
          <w:rFonts w:eastAsia="Calibri"/>
          <w:sz w:val="28"/>
          <w:szCs w:val="28"/>
        </w:rPr>
        <w:t xml:space="preserve">- </w:t>
      </w:r>
      <w:r w:rsidR="00D116B1" w:rsidRPr="00844820">
        <w:rPr>
          <w:rFonts w:eastAsia="Calibri"/>
          <w:sz w:val="28"/>
          <w:szCs w:val="28"/>
        </w:rPr>
        <w:t>Quy định nguyên tắc về tổ chức, hoạt động, quản trị, kiểm soát nội bộ, quản trị rủi ro và cơ chế giám sát đối với các chủ thể vận hành hạ tầng thị trường; quy định điều kiện thành lập, hoạt động của Sở giao dịch hàng hóa và Trung tâm thanh toán bù trừ; giao Chính phủ quy định chi tiết các điều kiện được Luật giao và hồ sơ, trình tự, thủ tục cấp, sửa đổi, bổ sung, thu hồi giấy phép theo quy định của Luật.</w:t>
      </w:r>
    </w:p>
    <w:p w14:paraId="6E2269CF" w14:textId="77777777" w:rsidR="00DD252F" w:rsidRPr="00844820" w:rsidRDefault="00DD252F" w:rsidP="00956135">
      <w:pPr>
        <w:widowControl w:val="0"/>
        <w:spacing w:before="120" w:after="120" w:line="264" w:lineRule="auto"/>
        <w:rPr>
          <w:rFonts w:eastAsia="Calibri"/>
          <w:sz w:val="28"/>
          <w:szCs w:val="28"/>
        </w:rPr>
      </w:pPr>
      <w:r w:rsidRPr="00844820">
        <w:rPr>
          <w:rFonts w:eastAsia="Calibri"/>
          <w:sz w:val="28"/>
          <w:szCs w:val="28"/>
        </w:rPr>
        <w:t>Nhà nước thực hiện chức năng quản lý đối với các chủ thể vận hành hạ tầng thị trường thông qua cơ chế cấp phép, thanh tra, kiểm tra và giám sát nhằm bảo đảm hoạt động thị trường công khai, minh bạch, an toàn và hiệu quả.</w:t>
      </w:r>
    </w:p>
    <w:p w14:paraId="3942199E" w14:textId="339F5060" w:rsidR="00DD252F" w:rsidRPr="00844820" w:rsidRDefault="00DD252F" w:rsidP="00956135">
      <w:pPr>
        <w:widowControl w:val="0"/>
        <w:spacing w:before="120" w:after="120" w:line="264" w:lineRule="auto"/>
        <w:rPr>
          <w:rFonts w:eastAsia="Calibri"/>
          <w:sz w:val="28"/>
          <w:szCs w:val="28"/>
        </w:rPr>
      </w:pPr>
      <w:r w:rsidRPr="00844820">
        <w:rPr>
          <w:rFonts w:eastAsia="Calibri"/>
          <w:sz w:val="28"/>
          <w:szCs w:val="28"/>
        </w:rPr>
        <w:t xml:space="preserve">- </w:t>
      </w:r>
      <w:r w:rsidR="00D904B1" w:rsidRPr="00844820">
        <w:rPr>
          <w:rFonts w:eastAsia="Calibri"/>
          <w:sz w:val="28"/>
          <w:szCs w:val="28"/>
        </w:rPr>
        <w:t>Quy định hệ thống hạ tầng thị trường giao dịch hàng hóa phái sinh gồm Sở giao dịch hàng hóa, Trung tâm thanh toán bù trừ, ngân hàng thanh toán, hệ thống kho, giao nhận hàng hóa và hệ thống công nghệ, dữ liệu phục vụ giao dịch, thanh toán bù trừ và giám sát thị trường; quy định điều kiện thành lập, tổ chức và hoạt động, quyền, nghĩa vụ và cơ chế quản lý, giám sát đối với Sở giao dịch hàng hóa và Trung tâm thanh toán bù trừ; các chủ thể cung cấp dịch vụ hạ tầng khác thực hiện theo quy định của Luật này và pháp luật có liên quan.</w:t>
      </w:r>
    </w:p>
    <w:p w14:paraId="37DDA022" w14:textId="77777777" w:rsidR="00DD252F" w:rsidRPr="00844820" w:rsidRDefault="00DD252F" w:rsidP="00956135">
      <w:pPr>
        <w:widowControl w:val="0"/>
        <w:spacing w:before="120" w:after="120" w:line="264" w:lineRule="auto"/>
        <w:rPr>
          <w:rFonts w:eastAsia="Calibri"/>
          <w:i/>
          <w:sz w:val="28"/>
          <w:szCs w:val="28"/>
        </w:rPr>
      </w:pPr>
      <w:r w:rsidRPr="00844820">
        <w:rPr>
          <w:rFonts w:eastAsia="Calibri"/>
          <w:b/>
          <w:bCs/>
          <w:i/>
          <w:sz w:val="28"/>
          <w:szCs w:val="28"/>
        </w:rPr>
        <w:t>Về hạ tầng giao dịch và hạ tầng hỗ trợ thị trường</w:t>
      </w:r>
    </w:p>
    <w:p w14:paraId="4C551B1B" w14:textId="1299A8CB" w:rsidR="00DD252F" w:rsidRPr="00844820" w:rsidRDefault="00DD252F" w:rsidP="00956135">
      <w:pPr>
        <w:widowControl w:val="0"/>
        <w:spacing w:before="120" w:after="120" w:line="264" w:lineRule="auto"/>
        <w:rPr>
          <w:rFonts w:eastAsia="Calibri"/>
          <w:sz w:val="28"/>
          <w:szCs w:val="28"/>
        </w:rPr>
      </w:pPr>
      <w:r w:rsidRPr="00844820">
        <w:rPr>
          <w:rFonts w:eastAsia="Calibri"/>
          <w:sz w:val="28"/>
          <w:szCs w:val="28"/>
        </w:rPr>
        <w:t xml:space="preserve">- </w:t>
      </w:r>
      <w:r w:rsidR="00D116B1" w:rsidRPr="00844820">
        <w:rPr>
          <w:rFonts w:eastAsia="Calibri"/>
          <w:sz w:val="28"/>
          <w:szCs w:val="28"/>
        </w:rPr>
        <w:t>Quy định các nguyên tắc về xây dựng, quản lý và vận hành hệ thống giao dịch, hệ thống thanh toán bù trừ, hệ thống quản lý ký quỹ, tài sản bảo đảm, hệ thống kho bãi, giao nhận hàng hóa và các hạ tầng kỹ thuật phục vụ hoạt động giao dịch hàng hóa phái sinh, bảo đảm an toàn, liên tục và đáp ứng yêu cầu quản lý, giám sát thị trường.</w:t>
      </w:r>
    </w:p>
    <w:p w14:paraId="77FDC414" w14:textId="14B23A84" w:rsidR="00DD252F" w:rsidRPr="00844820" w:rsidRDefault="00DD252F" w:rsidP="00956135">
      <w:pPr>
        <w:widowControl w:val="0"/>
        <w:spacing w:before="120" w:after="120" w:line="264" w:lineRule="auto"/>
        <w:rPr>
          <w:rFonts w:eastAsia="Calibri"/>
          <w:sz w:val="28"/>
          <w:szCs w:val="28"/>
        </w:rPr>
      </w:pPr>
      <w:r w:rsidRPr="00844820">
        <w:rPr>
          <w:rFonts w:eastAsia="Calibri"/>
          <w:sz w:val="28"/>
          <w:szCs w:val="28"/>
        </w:rPr>
        <w:t xml:space="preserve">- </w:t>
      </w:r>
      <w:r w:rsidR="00463E28" w:rsidRPr="00844820">
        <w:rPr>
          <w:rFonts w:eastAsia="Calibri"/>
          <w:sz w:val="28"/>
          <w:szCs w:val="28"/>
        </w:rPr>
        <w:t>Quy định nguyên tắc kết nối, phối hợp hoạt động giữa Sở giao dịch hàng hóa, Trung tâm thanh toán bù trừ, ngân hàng thanh toán, hệ thống kho bãi, giao nhận hàng hóa và các chủ thể có liên quan nhằm bảo đảm hoạt động giao dịch, thanh toán bù trừ, ký quỹ và giao nhận hàng hóa được thực hiện an toàn, liên tục và hiệu quả.</w:t>
      </w:r>
    </w:p>
    <w:p w14:paraId="5D583B55" w14:textId="77777777" w:rsidR="00DD252F" w:rsidRPr="00844820" w:rsidRDefault="00DD252F" w:rsidP="00956135">
      <w:pPr>
        <w:widowControl w:val="0"/>
        <w:spacing w:before="120" w:after="120" w:line="264" w:lineRule="auto"/>
        <w:rPr>
          <w:rFonts w:eastAsia="Calibri"/>
          <w:i/>
          <w:sz w:val="28"/>
          <w:szCs w:val="28"/>
        </w:rPr>
      </w:pPr>
      <w:r w:rsidRPr="00844820">
        <w:rPr>
          <w:rFonts w:eastAsia="Calibri"/>
          <w:b/>
          <w:bCs/>
          <w:i/>
          <w:sz w:val="28"/>
          <w:szCs w:val="28"/>
        </w:rPr>
        <w:t>Về hạ tầng công nghệ và chuyển đổi số</w:t>
      </w:r>
    </w:p>
    <w:p w14:paraId="35DAB326" w14:textId="30B75EAD" w:rsidR="00463E28" w:rsidRPr="00844820" w:rsidRDefault="00463E28" w:rsidP="00956135">
      <w:pPr>
        <w:widowControl w:val="0"/>
        <w:spacing w:before="120" w:after="120" w:line="264" w:lineRule="auto"/>
        <w:rPr>
          <w:rFonts w:eastAsia="Calibri"/>
          <w:sz w:val="28"/>
          <w:szCs w:val="28"/>
        </w:rPr>
      </w:pPr>
      <w:r w:rsidRPr="00844820">
        <w:rPr>
          <w:rFonts w:eastAsia="Calibri"/>
          <w:sz w:val="28"/>
          <w:szCs w:val="28"/>
        </w:rPr>
        <w:t>- Quy định nguyên tắc ứng dụng công nghệ thông tin, giao dịch điện tử, dữ liệu điện tử và các phương thức điện tử trong tổ chức, vận hành thị trường giao dịch hàng hóa phái sinh phù hợp với quy định của Luật này và pháp luật có liên quan.</w:t>
      </w:r>
    </w:p>
    <w:p w14:paraId="377DFC9D" w14:textId="429F7743" w:rsidR="00DD252F" w:rsidRPr="00844820" w:rsidRDefault="00463E28" w:rsidP="00956135">
      <w:pPr>
        <w:widowControl w:val="0"/>
        <w:spacing w:before="120" w:after="120" w:line="264" w:lineRule="auto"/>
        <w:rPr>
          <w:rFonts w:eastAsia="Calibri"/>
          <w:sz w:val="28"/>
          <w:szCs w:val="28"/>
        </w:rPr>
      </w:pPr>
      <w:r w:rsidRPr="00844820">
        <w:rPr>
          <w:rFonts w:eastAsia="Calibri"/>
          <w:sz w:val="28"/>
          <w:szCs w:val="28"/>
        </w:rPr>
        <w:t>- Quy định cơ chế kết nối, cung cấp, chia sẻ dữ liệu giữa Sở giao dịch hàng hóa, Trung tâm thanh toán bù trừ, các chủ thể có liên quan và cơ quan quản lý nhà nước; bảo đảm khả năng giám sát giao dịch, cung cấp dữ liệu kịp thời, an toàn, liên tục phục vụ vận hành thị trường và quản lý nhà nước.</w:t>
      </w:r>
    </w:p>
    <w:p w14:paraId="7750E23B" w14:textId="77777777" w:rsidR="00DD252F" w:rsidRPr="00844820" w:rsidRDefault="00DD252F" w:rsidP="00956135">
      <w:pPr>
        <w:widowControl w:val="0"/>
        <w:spacing w:before="120" w:after="120" w:line="264" w:lineRule="auto"/>
        <w:rPr>
          <w:rFonts w:eastAsia="Calibri"/>
          <w:sz w:val="28"/>
          <w:szCs w:val="28"/>
        </w:rPr>
      </w:pPr>
      <w:r w:rsidRPr="00844820">
        <w:rPr>
          <w:rFonts w:eastAsia="Calibri"/>
          <w:sz w:val="28"/>
          <w:szCs w:val="28"/>
        </w:rPr>
        <w:t>- Bổ sung quy định làm cơ sở pháp lý cho việc ứng dụng công nghệ số, dữ liệu lớn (Big Data), trí tuệ nhân tạo (AI), công nghệ chuỗi khối (Blockchain) và các công nghệ tiên tiến khác trong hoạt động giao dịch, thanh toán bù trừ, quản lý ký quỹ, quản lý dữ liệu và vận hành hạ tầng thị trường giao dịch hàng hóa phái sinh.</w:t>
      </w:r>
    </w:p>
    <w:p w14:paraId="7503F168" w14:textId="77777777" w:rsidR="00DD252F" w:rsidRPr="00844820" w:rsidRDefault="00DD252F" w:rsidP="00956135">
      <w:pPr>
        <w:widowControl w:val="0"/>
        <w:spacing w:before="120" w:after="120" w:line="264" w:lineRule="auto"/>
        <w:rPr>
          <w:rFonts w:eastAsia="Calibri"/>
          <w:i/>
          <w:kern w:val="28"/>
          <w:sz w:val="28"/>
          <w:szCs w:val="28"/>
        </w:rPr>
      </w:pPr>
      <w:r w:rsidRPr="00844820">
        <w:rPr>
          <w:rFonts w:eastAsia="Calibri"/>
          <w:b/>
          <w:bCs/>
          <w:i/>
          <w:kern w:val="28"/>
          <w:sz w:val="28"/>
          <w:szCs w:val="28"/>
        </w:rPr>
        <w:t>Về cơ chế kiểm soát rủi ro và bảo đảm an toàn hệ thống</w:t>
      </w:r>
    </w:p>
    <w:p w14:paraId="33512C47" w14:textId="74372D8E" w:rsidR="00DD252F" w:rsidRPr="00844820" w:rsidRDefault="00DD252F" w:rsidP="00956135">
      <w:pPr>
        <w:widowControl w:val="0"/>
        <w:spacing w:before="120" w:after="120" w:line="264" w:lineRule="auto"/>
        <w:rPr>
          <w:rFonts w:eastAsia="Calibri"/>
          <w:kern w:val="28"/>
          <w:sz w:val="28"/>
          <w:szCs w:val="28"/>
        </w:rPr>
      </w:pPr>
      <w:r w:rsidRPr="00844820">
        <w:rPr>
          <w:rFonts w:eastAsia="Calibri"/>
          <w:kern w:val="28"/>
          <w:sz w:val="28"/>
          <w:szCs w:val="28"/>
        </w:rPr>
        <w:t xml:space="preserve">- </w:t>
      </w:r>
      <w:r w:rsidR="00463E28" w:rsidRPr="00844820">
        <w:rPr>
          <w:rFonts w:eastAsia="Calibri"/>
          <w:kern w:val="28"/>
          <w:sz w:val="28"/>
          <w:szCs w:val="28"/>
        </w:rPr>
        <w:t>Quy định các nguyên tắc quản trị rủi ro đối với hoạt động giao dịch hàng hóa phái sinh, bao gồm cơ chế quản lý ký quỹ, Quỹ bảo đảm thanh toán, quản lý tách biệt tài sản và vị thế của khách hàng, quản lý vị thế giao dịch, giới hạn vị thế, miễn trừ giới hạn vị thế đối với giao dịch phòng ngừa rủi ro và các biện pháp kiểm soát rủi ro khác.</w:t>
      </w:r>
    </w:p>
    <w:p w14:paraId="4C1C5F42" w14:textId="03D4E120" w:rsidR="00DD252F" w:rsidRPr="00844820" w:rsidRDefault="00DD252F" w:rsidP="00956135">
      <w:pPr>
        <w:widowControl w:val="0"/>
        <w:spacing w:before="120" w:after="120" w:line="264" w:lineRule="auto"/>
        <w:rPr>
          <w:rFonts w:eastAsia="Calibri"/>
          <w:kern w:val="28"/>
          <w:sz w:val="28"/>
          <w:szCs w:val="28"/>
        </w:rPr>
      </w:pPr>
      <w:r w:rsidRPr="00844820">
        <w:rPr>
          <w:rFonts w:eastAsia="Calibri"/>
          <w:kern w:val="28"/>
          <w:sz w:val="28"/>
          <w:szCs w:val="28"/>
        </w:rPr>
        <w:t xml:space="preserve">- </w:t>
      </w:r>
      <w:r w:rsidR="00463E28" w:rsidRPr="00844820">
        <w:rPr>
          <w:rFonts w:eastAsia="Calibri"/>
          <w:kern w:val="28"/>
          <w:sz w:val="28"/>
          <w:szCs w:val="28"/>
        </w:rPr>
        <w:t>Quy định nguyên tắc tổ chức thanh toán bù trừ, quản lý rủi ro đối tác, xử lý trường hợp thành viên mất khả năng thanh toán, trong đó xác định thứ tự sử dụng tài sản ký quỹ, tài sản bảo đảm, Quỹ bảo đảm thanh toán và các nguồn lực tài chính để bù đắp tổn thất; cơ chế bù trừ chấm dứt nghĩa vụ, chuyển giao vị thế và tài sản của khách hàng; kế hoạch phục hồi, chấm dứt hoạt động có trật tự và các biện pháp bảo đảm an toàn, ổn định của hệ thống thanh toán bù trừ và thị trường.</w:t>
      </w:r>
    </w:p>
    <w:p w14:paraId="732E5C5C" w14:textId="74339DD3" w:rsidR="00C329B3" w:rsidRPr="00844820" w:rsidRDefault="00DD252F" w:rsidP="00956135">
      <w:pPr>
        <w:widowControl w:val="0"/>
        <w:spacing w:before="120" w:after="120" w:line="264" w:lineRule="auto"/>
        <w:rPr>
          <w:rFonts w:eastAsia="Calibri"/>
          <w:kern w:val="28"/>
          <w:sz w:val="28"/>
          <w:szCs w:val="28"/>
        </w:rPr>
      </w:pPr>
      <w:r w:rsidRPr="00844820">
        <w:rPr>
          <w:rFonts w:eastAsia="Calibri"/>
          <w:kern w:val="28"/>
          <w:sz w:val="28"/>
          <w:szCs w:val="28"/>
        </w:rPr>
        <w:t xml:space="preserve">- </w:t>
      </w:r>
      <w:r w:rsidR="00463E28" w:rsidRPr="00844820">
        <w:rPr>
          <w:rFonts w:eastAsia="Calibri"/>
          <w:kern w:val="28"/>
          <w:sz w:val="28"/>
          <w:szCs w:val="28"/>
        </w:rPr>
        <w:t>Quy định cơ chế giám sát thị trường, giám sát lệnh, giao dịch, vị thế và các dữ liệu có liên quan nhằm phát hiện, cảnh báo và xử lý kịp thời các hành vi thao túng thị trường, giao dịch bất thường và các rủi ro có khả năng ảnh hưởng đến an toàn, tính toàn vẹn và ổn định của thị trường.</w:t>
      </w:r>
    </w:p>
    <w:p w14:paraId="777F3B0B" w14:textId="7B3A962B" w:rsidR="00DD252F" w:rsidRPr="00844820" w:rsidRDefault="00C329B3" w:rsidP="00956135">
      <w:pPr>
        <w:widowControl w:val="0"/>
        <w:spacing w:before="120" w:after="120" w:line="264" w:lineRule="auto"/>
        <w:rPr>
          <w:rFonts w:eastAsia="Calibri"/>
          <w:kern w:val="28"/>
          <w:sz w:val="28"/>
          <w:szCs w:val="28"/>
        </w:rPr>
      </w:pPr>
      <w:r w:rsidRPr="00844820">
        <w:rPr>
          <w:rFonts w:eastAsia="Calibri"/>
          <w:kern w:val="28"/>
          <w:sz w:val="28"/>
          <w:szCs w:val="28"/>
        </w:rPr>
        <w:t>- Quy định cơ chế bảo đảm khả năng chống chịu và tính liên tục của hệ thống giao dịch, hệ thống thanh toán bù trừ và hệ thống công nghệ thông tin; yêu cầu xây dựng, duy trì, kiểm thử và cập nhật phương án ứng phó sự cố, dự phòng, khôi phục sau thảm họa, bảo đảm an ninh mạng và tính toàn vẹn của dữ liệu, hạn chế ảnh hưởng của sự cố đến hoạt động của thị trường.</w:t>
      </w:r>
    </w:p>
    <w:p w14:paraId="67090D8E" w14:textId="0F10D039" w:rsidR="00DD252F" w:rsidRPr="00844820" w:rsidRDefault="00DD252F" w:rsidP="00956135">
      <w:pPr>
        <w:widowControl w:val="0"/>
        <w:spacing w:before="120" w:after="120" w:line="264" w:lineRule="auto"/>
        <w:rPr>
          <w:rFonts w:eastAsia="Calibri"/>
          <w:b/>
          <w:bCs/>
          <w:kern w:val="28"/>
          <w:sz w:val="28"/>
          <w:szCs w:val="28"/>
        </w:rPr>
      </w:pPr>
      <w:r w:rsidRPr="00844820">
        <w:rPr>
          <w:rFonts w:eastAsia="Calibri"/>
          <w:b/>
          <w:bCs/>
          <w:kern w:val="28"/>
          <w:sz w:val="28"/>
          <w:szCs w:val="28"/>
        </w:rPr>
        <w:t>4</w:t>
      </w:r>
      <w:r w:rsidRPr="00844820">
        <w:rPr>
          <w:rFonts w:eastAsia="Calibri"/>
          <w:kern w:val="28"/>
          <w:sz w:val="28"/>
          <w:szCs w:val="28"/>
        </w:rPr>
        <w:t xml:space="preserve">. </w:t>
      </w:r>
      <w:r w:rsidRPr="00844820">
        <w:rPr>
          <w:rFonts w:eastAsia="Calibri"/>
          <w:b/>
          <w:bCs/>
          <w:kern w:val="28"/>
          <w:sz w:val="28"/>
          <w:szCs w:val="28"/>
        </w:rPr>
        <w:t>Tạo lập môi trường pháp lý mang tính kiến tạo, phát triển với các quy định về trách nhiệm quản lý theo hướng phân cấp, phân quyền, và đơn giản hóa thủ tục hành chính</w:t>
      </w:r>
    </w:p>
    <w:p w14:paraId="509E87F0" w14:textId="77777777" w:rsidR="00DD252F" w:rsidRPr="00844820" w:rsidRDefault="00DD252F" w:rsidP="00956135">
      <w:pPr>
        <w:widowControl w:val="0"/>
        <w:spacing w:before="120" w:after="120" w:line="264" w:lineRule="auto"/>
        <w:outlineLvl w:val="1"/>
        <w:rPr>
          <w:i/>
          <w:spacing w:val="-4"/>
          <w:sz w:val="28"/>
          <w:szCs w:val="28"/>
        </w:rPr>
      </w:pPr>
      <w:r w:rsidRPr="00844820">
        <w:rPr>
          <w:b/>
          <w:bCs/>
          <w:i/>
          <w:spacing w:val="-4"/>
          <w:sz w:val="28"/>
          <w:szCs w:val="28"/>
        </w:rPr>
        <w:t>Về mô hình quản lý nhà nước đối với thị trường giao dịch hàng hóa phái sinh</w:t>
      </w:r>
    </w:p>
    <w:p w14:paraId="6CD1F2CD" w14:textId="3F4D4893"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 xml:space="preserve">- </w:t>
      </w:r>
      <w:r w:rsidR="00F559E0" w:rsidRPr="00844820">
        <w:rPr>
          <w:spacing w:val="-4"/>
          <w:sz w:val="28"/>
          <w:szCs w:val="28"/>
        </w:rPr>
        <w:t>Chính phủ thống nhất quản lý nhà nước đối với thị trường giao dịch hàng hóa phái sinh và giao một cơ quan đầu mối thực hiện quản lý tổng thể thị trường, điều phối chính sách, tổ chức giám sát và quản lý rủi ro theo hướng tập trung, thống nhất; đồng thời quy định trách nhiệm phối hợp của các bộ, cơ quan ngang bộ trong phạm vi nhiệm vụ, quyền hạn đối với các hoạt động thanh toán, ngoại hối, ngân hàng, thuế, kế toán, phòng, chống rửa tiền, an ninh mạng và các hoạt động chuyên ngành có liên quan. Thực hiện phân cấp, phân quyền quản lý nhà nước và cơ chế tự quản thị trường đối với Sở giao dịch hàng hóa, Trung tâm thanh toán bù trừ. Cụ thể:</w:t>
      </w:r>
    </w:p>
    <w:p w14:paraId="4D5CA2E6" w14:textId="099D8A68"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 xml:space="preserve">+ </w:t>
      </w:r>
      <w:r w:rsidR="006C0187" w:rsidRPr="00844820">
        <w:rPr>
          <w:spacing w:val="-4"/>
          <w:sz w:val="28"/>
          <w:szCs w:val="28"/>
        </w:rPr>
        <w:t>P</w:t>
      </w:r>
      <w:r w:rsidRPr="00844820">
        <w:rPr>
          <w:spacing w:val="-4"/>
          <w:sz w:val="28"/>
          <w:szCs w:val="28"/>
        </w:rPr>
        <w:t>hân cấp, phân quyền cho Ủy ban nhân dân cấp tỉnh và cơ quan, tổ chức có thẩm quyền trong việc thực hiện một số nội dung quản lý nhà nước, thủ tục hành chính đối với hoạt động giao dịch hàng hóa phái sinh.</w:t>
      </w:r>
    </w:p>
    <w:p w14:paraId="75E23847" w14:textId="208E7489"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 xml:space="preserve">+ Sở giao dịch hàng hóa và Trung tâm thanh toán bù trừ được trao quyền </w:t>
      </w:r>
      <w:r w:rsidR="00B81317" w:rsidRPr="00844820">
        <w:rPr>
          <w:spacing w:val="-4"/>
          <w:sz w:val="28"/>
          <w:szCs w:val="28"/>
        </w:rPr>
        <w:t>xem xét, chấp thuận hoặc công nhận tư cách thành viên; quản lý thành viên; ban hành và tổ chức thực hiện các quy chế nghiệp vụ; giám sát, kiểm tra việc tuân thủ quy tắc thị trường và áp dụng các biện pháp xử lý đối với hành vi vi phạm thuộc phạm vi tự quản theo quy định của pháp luật và quy chế</w:t>
      </w:r>
      <w:r w:rsidRPr="00844820">
        <w:rPr>
          <w:spacing w:val="-4"/>
          <w:sz w:val="28"/>
          <w:szCs w:val="28"/>
        </w:rPr>
        <w:t xml:space="preserve"> thị trường.</w:t>
      </w:r>
    </w:p>
    <w:p w14:paraId="0295FD20" w14:textId="77777777" w:rsidR="00DD252F" w:rsidRPr="00844820" w:rsidRDefault="00DD252F" w:rsidP="00956135">
      <w:pPr>
        <w:widowControl w:val="0"/>
        <w:spacing w:before="120" w:after="120" w:line="264" w:lineRule="auto"/>
        <w:outlineLvl w:val="1"/>
        <w:rPr>
          <w:i/>
          <w:spacing w:val="-4"/>
          <w:sz w:val="28"/>
          <w:szCs w:val="28"/>
        </w:rPr>
      </w:pPr>
      <w:r w:rsidRPr="00844820">
        <w:rPr>
          <w:b/>
          <w:bCs/>
          <w:i/>
          <w:spacing w:val="-4"/>
          <w:sz w:val="28"/>
          <w:szCs w:val="28"/>
        </w:rPr>
        <w:t>Về quản trị rủi ro thị trường</w:t>
      </w:r>
    </w:p>
    <w:p w14:paraId="4F1C5585" w14:textId="77777777"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 Quy định nguyên tắc quản trị rủi ro thị trường giao dịch hàng hóa phái sinh; trách nhiệm của cơ quan quản lý nhà nước, Sở giao dịch hàng hóa, Trung tâm thanh toán bù trừ và các chủ thể tham gia thị trường trong việc nhận diện, đánh giá, kiểm soát và xử lý rủi ro.</w:t>
      </w:r>
    </w:p>
    <w:p w14:paraId="0D099F32" w14:textId="77777777"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 Quy định các công cụ quản lý rủi ro thị trường, bao gồm cơ chế giới hạn vị thế, giới hạn biến động giá, tạm ngừng giao dịch trong trường hợp cần thiết và các biện pháp quản lý rủi ro khác nhằm bảo đảm an toàn, ổn định thị trường và hạn chế rủi ro mang tính hệ thống.</w:t>
      </w:r>
    </w:p>
    <w:p w14:paraId="452CFD68" w14:textId="77777777"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 Xây dựng cơ chế báo cáo, công bố thông tin, kết nối đồng bộ theo thời gian thực với hạ tầng thị trường của Sở giao dịch hàng hóa và Trung tâm thanh toán bù trừ nhằm chia sẻ dữ liệu và giám sát thị trường một cách đồng bộ; hình thành cơ chế giám sát phân lớp giữa cơ quan quản lý nhà nước, tổ chức vận hành thị trường và các chủ thể tham gia thị trường.</w:t>
      </w:r>
    </w:p>
    <w:p w14:paraId="6A025A1E" w14:textId="77777777"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 Quy định trách nhiệm công bố thông tin, báo cáo, cung cấp dữ liệu phục vụ công tác giám sát thị trường và quản trị rủi ro theo quy định của pháp luật.</w:t>
      </w:r>
    </w:p>
    <w:p w14:paraId="77481AD8" w14:textId="77777777" w:rsidR="00DD252F" w:rsidRPr="00844820" w:rsidRDefault="00DD252F" w:rsidP="00956135">
      <w:pPr>
        <w:widowControl w:val="0"/>
        <w:spacing w:before="120" w:after="120" w:line="264" w:lineRule="auto"/>
        <w:outlineLvl w:val="1"/>
        <w:rPr>
          <w:i/>
          <w:spacing w:val="-4"/>
          <w:sz w:val="28"/>
          <w:szCs w:val="28"/>
        </w:rPr>
      </w:pPr>
      <w:r w:rsidRPr="00844820">
        <w:rPr>
          <w:b/>
          <w:bCs/>
          <w:i/>
          <w:spacing w:val="-4"/>
          <w:sz w:val="28"/>
          <w:szCs w:val="28"/>
        </w:rPr>
        <w:t>Về cải cách thủ tục hành chính</w:t>
      </w:r>
    </w:p>
    <w:p w14:paraId="243ACA87" w14:textId="14196624" w:rsidR="00DD252F" w:rsidRPr="00844820" w:rsidRDefault="00DD252F" w:rsidP="00956135">
      <w:pPr>
        <w:widowControl w:val="0"/>
        <w:spacing w:before="120" w:after="120" w:line="264" w:lineRule="auto"/>
        <w:outlineLvl w:val="1"/>
        <w:rPr>
          <w:spacing w:val="-4"/>
          <w:sz w:val="28"/>
          <w:szCs w:val="28"/>
        </w:rPr>
      </w:pPr>
      <w:r w:rsidRPr="00844820">
        <w:rPr>
          <w:spacing w:val="-4"/>
          <w:sz w:val="28"/>
          <w:szCs w:val="28"/>
        </w:rPr>
        <w:t>Quy định về thủ tục hành chính theo hướng công khai, minh bạch, đơn giản hóa hồ sơ, đẩy mạnh thực hiện thủ tục hành chính trên môi trường điện tử nhằm giảm chi phí tuân thủ và tạo điều kiện thuận lợi cho doanh nghiệp, nhà đầu tư và các tổ chức trung gian tham gia thị trường</w:t>
      </w:r>
      <w:r w:rsidR="00B81317" w:rsidRPr="00844820">
        <w:rPr>
          <w:spacing w:val="-4"/>
          <w:sz w:val="28"/>
          <w:szCs w:val="28"/>
        </w:rPr>
        <w:t xml:space="preserve">; </w:t>
      </w:r>
      <w:r w:rsidRPr="00844820">
        <w:rPr>
          <w:spacing w:val="-4"/>
          <w:sz w:val="28"/>
          <w:szCs w:val="28"/>
        </w:rPr>
        <w:t xml:space="preserve"> </w:t>
      </w:r>
    </w:p>
    <w:p w14:paraId="7E7872D5" w14:textId="77777777" w:rsidR="00DD252F" w:rsidRPr="00844820" w:rsidRDefault="00DD252F" w:rsidP="00956135">
      <w:pPr>
        <w:widowControl w:val="0"/>
        <w:spacing w:before="120" w:after="120" w:line="264" w:lineRule="auto"/>
        <w:outlineLvl w:val="1"/>
        <w:rPr>
          <w:i/>
          <w:spacing w:val="-4"/>
          <w:sz w:val="28"/>
          <w:szCs w:val="28"/>
        </w:rPr>
      </w:pPr>
      <w:r w:rsidRPr="00844820">
        <w:rPr>
          <w:b/>
          <w:bCs/>
          <w:i/>
          <w:spacing w:val="-4"/>
          <w:sz w:val="28"/>
          <w:szCs w:val="28"/>
        </w:rPr>
        <w:t>Về cơ chế thử nghiệm có kiểm soát (Sandbox)</w:t>
      </w:r>
    </w:p>
    <w:p w14:paraId="6DDA54C1" w14:textId="4560E648" w:rsidR="00DD252F" w:rsidRPr="00844820" w:rsidRDefault="00B81317" w:rsidP="00956135">
      <w:pPr>
        <w:widowControl w:val="0"/>
        <w:spacing w:before="120" w:after="120" w:line="264" w:lineRule="auto"/>
        <w:outlineLvl w:val="1"/>
        <w:rPr>
          <w:spacing w:val="-4"/>
          <w:sz w:val="28"/>
          <w:szCs w:val="28"/>
        </w:rPr>
      </w:pPr>
      <w:r w:rsidRPr="00844820">
        <w:rPr>
          <w:spacing w:val="-4"/>
          <w:sz w:val="28"/>
          <w:szCs w:val="28"/>
        </w:rPr>
        <w:t>Quy định cơ chế thử nghiệm có kiểm soát đối với mô hình kinh doanh, sản phẩm, dịch vụ, công nghệ, quy trình hoặc phương thức tổ chức thị trường mới chưa được pháp luật quy định đầy đủ hoặc cần được kiểm chứng trước khi áp dụng chính thức. Tổ chức tham gia thử nghiệm phải đáp ứng điều kiện, tiêu chí tham gia; thực hiện chế độ báo cáo, công bố thông tin, cung cấp dữ liệu; chịu sự giám sát, thanh tra, kiểm tra và thực hiện các biện pháp bảo vệ khách hàng, nhà đầu tư theo quy định. Căn cứ yêu cầu phát triển của thị trường hàng hóa phái sinh, Chính phủ quy định về lĩnh vực, sản phẩm, dịch vụ và hoạt động được thử nghiệm.</w:t>
      </w:r>
    </w:p>
    <w:p w14:paraId="6BF26839" w14:textId="77777777" w:rsidR="00DD252F" w:rsidRPr="00844820" w:rsidRDefault="00DD252F" w:rsidP="00956135">
      <w:pPr>
        <w:widowControl w:val="0"/>
        <w:spacing w:before="120" w:after="120" w:line="264" w:lineRule="auto"/>
        <w:outlineLvl w:val="1"/>
        <w:rPr>
          <w:i/>
          <w:spacing w:val="-4"/>
          <w:sz w:val="28"/>
          <w:szCs w:val="28"/>
        </w:rPr>
      </w:pPr>
      <w:r w:rsidRPr="00844820">
        <w:rPr>
          <w:b/>
          <w:bCs/>
          <w:i/>
          <w:spacing w:val="-4"/>
          <w:sz w:val="28"/>
          <w:szCs w:val="28"/>
        </w:rPr>
        <w:t>Về cơ chế hỗ trợ phát triển thị trường</w:t>
      </w:r>
    </w:p>
    <w:p w14:paraId="12CA3C01" w14:textId="5D19922F" w:rsidR="00C6156A" w:rsidRPr="00844820" w:rsidRDefault="00C6156A" w:rsidP="00956135">
      <w:pPr>
        <w:widowControl w:val="0"/>
        <w:spacing w:before="120" w:after="120" w:line="264" w:lineRule="auto"/>
        <w:outlineLvl w:val="1"/>
        <w:rPr>
          <w:spacing w:val="-4"/>
          <w:sz w:val="28"/>
          <w:szCs w:val="28"/>
        </w:rPr>
      </w:pPr>
      <w:r w:rsidRPr="00844820">
        <w:rPr>
          <w:spacing w:val="-4"/>
          <w:sz w:val="28"/>
          <w:szCs w:val="28"/>
        </w:rPr>
        <w:t>- Quy định các chính sách hỗ trợ, khuyến khích doanh nghiệp, hợp tác xã và người sản xuất tham gia thị trường giao dịch hàng hóa phái sinh để phòng ngừa rủi ro biến động giá; hỗ trợ kết nối thị trường giao dịch hàng hóa phái sinh với khu vực sản xuất, chế biến, lưu thông và xuất khẩu hàng hóa; thúc đẩy phát triển các sản phẩm hàng hóa phái sinh dựa trên hàng hóa cơ sở là thế mạnh của Việt Nam.</w:t>
      </w:r>
    </w:p>
    <w:p w14:paraId="2C987E75" w14:textId="703ACABB" w:rsidR="00C6156A" w:rsidRPr="00844820" w:rsidRDefault="00C6156A" w:rsidP="00956135">
      <w:pPr>
        <w:widowControl w:val="0"/>
        <w:spacing w:before="120" w:after="120" w:line="264" w:lineRule="auto"/>
        <w:outlineLvl w:val="1"/>
        <w:rPr>
          <w:spacing w:val="-4"/>
          <w:sz w:val="28"/>
          <w:szCs w:val="28"/>
        </w:rPr>
      </w:pPr>
      <w:r w:rsidRPr="00844820">
        <w:rPr>
          <w:spacing w:val="-4"/>
          <w:sz w:val="28"/>
          <w:szCs w:val="28"/>
        </w:rPr>
        <w:t>- Quy định cơ chế hỗ trợ, khuyến khích phù hợp đối với các tổ chức, cá nhân tham gia thị trường, bao gồm các chính sách về thuế, phí, thủ tục hành chính, đào tạo, phát triển nguồn nhân lực, ứng dụng công nghệ hiện đại và các chính sách hỗ trợ khác theo quy định của pháp luật; khuyến khích phát triển, chuẩn hóa và quảng bá các hàng hóa phái sinh dựa trên hàng hóa cơ sở của Việt Nam, hướng tới hình thành giá tham chiếu khu vực và quốc tế.</w:t>
      </w:r>
    </w:p>
    <w:p w14:paraId="4D0BD925" w14:textId="77777777" w:rsidR="003A13D0" w:rsidRPr="00844820" w:rsidRDefault="00C6156A" w:rsidP="00956135">
      <w:pPr>
        <w:widowControl w:val="0"/>
        <w:spacing w:before="120" w:after="120" w:line="264" w:lineRule="auto"/>
        <w:outlineLvl w:val="0"/>
        <w:rPr>
          <w:spacing w:val="-4"/>
          <w:sz w:val="28"/>
          <w:szCs w:val="28"/>
        </w:rPr>
      </w:pPr>
      <w:r w:rsidRPr="00844820">
        <w:rPr>
          <w:spacing w:val="-4"/>
          <w:sz w:val="28"/>
          <w:szCs w:val="28"/>
        </w:rPr>
        <w:t>- Quy định về tổ chức xã hội - nghề nghiệp trong lĩnh vực hàng hóa phái sinh nhằm tập hợp, đại diện, bảo vệ quyền và lợi ích hợp pháp của các tổ chức, cá nhân hoạt động trong lĩnh vực giao dịch hàng hóa phái sinh và hỗ trợ phát triển thị trường theo quy định của pháp luật.</w:t>
      </w:r>
    </w:p>
    <w:p w14:paraId="3E261969" w14:textId="1310DB26" w:rsidR="00DD252F" w:rsidRPr="00844820" w:rsidRDefault="00DD252F" w:rsidP="00956135">
      <w:pPr>
        <w:widowControl w:val="0"/>
        <w:spacing w:before="120" w:after="120" w:line="264" w:lineRule="auto"/>
        <w:outlineLvl w:val="0"/>
        <w:rPr>
          <w:b/>
          <w:bCs/>
          <w:kern w:val="36"/>
          <w:sz w:val="28"/>
          <w:szCs w:val="28"/>
        </w:rPr>
      </w:pPr>
      <w:r w:rsidRPr="00844820">
        <w:rPr>
          <w:b/>
          <w:bCs/>
          <w:kern w:val="36"/>
          <w:sz w:val="28"/>
          <w:szCs w:val="28"/>
        </w:rPr>
        <w:t>5. Hoàn thiện quy định về giao dịch hàng hóa phái sinh có yếu tố nước ngoài</w:t>
      </w:r>
    </w:p>
    <w:p w14:paraId="56A9AD88" w14:textId="77777777" w:rsidR="00DD252F" w:rsidRPr="00844820" w:rsidRDefault="00DD252F" w:rsidP="00956135">
      <w:pPr>
        <w:widowControl w:val="0"/>
        <w:spacing w:before="120" w:after="120" w:line="264" w:lineRule="auto"/>
        <w:outlineLvl w:val="1"/>
        <w:rPr>
          <w:rFonts w:eastAsia="DengXian Light"/>
          <w:sz w:val="28"/>
          <w:szCs w:val="28"/>
        </w:rPr>
      </w:pPr>
      <w:r w:rsidRPr="00844820">
        <w:rPr>
          <w:rFonts w:eastAsia="DengXian Light"/>
          <w:sz w:val="28"/>
          <w:szCs w:val="28"/>
        </w:rPr>
        <w:t>- Quy định nguyên tắc, phạm vi và cơ chế kết nối, liên thông giữa thị trường giao dịch hàng hóa phái sinh của Việt Nam với thị trường nước ngoài theo hướng nhà đầu tư trong nước được thực hiện giao dịch hàng hóa phái sinh trên thị trường nước ngoài thông qua Sở giao dịch hàng hóa, Trung tâm thanh toán bù trừ hoặc các tổ chức khác được cơ quan có thẩm quyền chấp thuận.</w:t>
      </w:r>
    </w:p>
    <w:p w14:paraId="467312D2" w14:textId="77777777" w:rsidR="00DD252F" w:rsidRPr="00844820" w:rsidRDefault="00DD252F" w:rsidP="00956135">
      <w:pPr>
        <w:widowControl w:val="0"/>
        <w:spacing w:before="120" w:after="120" w:line="264" w:lineRule="auto"/>
        <w:outlineLvl w:val="1"/>
        <w:rPr>
          <w:rFonts w:eastAsia="DengXian Light"/>
          <w:sz w:val="28"/>
          <w:szCs w:val="28"/>
        </w:rPr>
      </w:pPr>
      <w:r w:rsidRPr="00844820">
        <w:rPr>
          <w:rFonts w:eastAsia="DengXian Light"/>
          <w:sz w:val="28"/>
          <w:szCs w:val="28"/>
        </w:rPr>
        <w:t>Giao Chính phủ quy định chi tiết điều kiện, tiêu chuẩn, phạm vi hoạt động và hình thức kết nối, liên thông; điều kiện đối với các chủ thể tham gia kết nối, liên thông với thị trường nước ngoài; trình tự, thủ tục chấp thuận; cơ chế thanh toán, quản trị rủi ro, báo cáo, giám sát và các nội dung cần thiết khác nhằm bảo đảm an toàn thị trường và kiểm soát rủi ro.</w:t>
      </w:r>
    </w:p>
    <w:p w14:paraId="47A5E904" w14:textId="77777777" w:rsidR="00DD252F" w:rsidRPr="00844820" w:rsidRDefault="00DD252F" w:rsidP="00956135">
      <w:pPr>
        <w:widowControl w:val="0"/>
        <w:spacing w:before="120" w:after="120" w:line="264" w:lineRule="auto"/>
        <w:outlineLvl w:val="1"/>
        <w:rPr>
          <w:rFonts w:eastAsia="DengXian Light"/>
          <w:sz w:val="28"/>
          <w:szCs w:val="28"/>
        </w:rPr>
      </w:pPr>
      <w:r w:rsidRPr="00844820">
        <w:rPr>
          <w:rFonts w:eastAsia="DengXian Light"/>
          <w:sz w:val="28"/>
          <w:szCs w:val="28"/>
        </w:rPr>
        <w:t>- Quy định điều kiện, phạm vi hoạt động, quyền và nghĩa vụ của nhà đầu tư nước ngoài, tổ chức kinh tế có vốn đầu tư nước ngoài và các chủ thể nước ngoài tham gia thị trường giao dịch hàng hóa phái sinh tại Việt Nam; bảo đảm phù hợp với pháp luật về đầu tư và các điều ước quốc tế mà Việt Nam là thành viên.</w:t>
      </w:r>
    </w:p>
    <w:p w14:paraId="42E9196B" w14:textId="77777777" w:rsidR="00DD252F" w:rsidRPr="00844820" w:rsidRDefault="00DD252F" w:rsidP="00956135">
      <w:pPr>
        <w:widowControl w:val="0"/>
        <w:spacing w:before="120" w:after="120" w:line="264" w:lineRule="auto"/>
        <w:outlineLvl w:val="1"/>
        <w:rPr>
          <w:rFonts w:eastAsia="DengXian Light"/>
          <w:sz w:val="28"/>
          <w:szCs w:val="28"/>
        </w:rPr>
      </w:pPr>
      <w:r w:rsidRPr="00844820">
        <w:rPr>
          <w:rFonts w:eastAsia="DengXian Light"/>
          <w:sz w:val="28"/>
          <w:szCs w:val="28"/>
        </w:rPr>
        <w:t>- Quy định nguyên tắc thực hiện thanh toán quốc tế, quản lý ngoại hối, chuyển tiền và luân chuyển dòng vốn và nghĩa vụ thuế phát sinh từ hoạt động giao dịch hàng hóa phái sinh có yếu tố nước ngoài; bảo đảm thống nhất với pháp luật về ngoại hối, hoạt động ngân hàng, thuế và các quy định pháp luật có liên quan.</w:t>
      </w:r>
    </w:p>
    <w:p w14:paraId="0380E4FB" w14:textId="77777777" w:rsidR="00DD252F" w:rsidRPr="00844820" w:rsidRDefault="00DD252F" w:rsidP="00956135">
      <w:pPr>
        <w:widowControl w:val="0"/>
        <w:spacing w:before="120" w:after="120" w:line="264" w:lineRule="auto"/>
        <w:outlineLvl w:val="1"/>
        <w:rPr>
          <w:rFonts w:eastAsia="DengXian Light"/>
          <w:sz w:val="28"/>
          <w:szCs w:val="28"/>
        </w:rPr>
      </w:pPr>
      <w:r w:rsidRPr="00844820">
        <w:rPr>
          <w:rFonts w:eastAsia="DengXian Light"/>
          <w:sz w:val="28"/>
          <w:szCs w:val="28"/>
        </w:rPr>
        <w:t>- Quy định trách nhiệm của các chủ thể tham gia thị trường trong việc nhận diện, kiểm soát, báo cáo và cung cấp thông tin đối với các giao dịch có yếu tố nước ngoài; bảo đảm tuân thủ các quy định về phòng, chống rửa tiền, phòng, chống tài trợ khủng bố, phòng, chống phổ biến vũ khí hủy diệt hàng loạt và các yêu cầu bảo đảm quốc phòng, an ninh, an ninh tiền tệ quốc gia.</w:t>
      </w:r>
    </w:p>
    <w:p w14:paraId="7AFF001A" w14:textId="35E52D99" w:rsidR="00DD252F" w:rsidRPr="00844820" w:rsidRDefault="00DD252F" w:rsidP="00956135">
      <w:pPr>
        <w:widowControl w:val="0"/>
        <w:spacing w:before="120" w:after="120" w:line="264" w:lineRule="auto"/>
        <w:outlineLvl w:val="1"/>
        <w:rPr>
          <w:rFonts w:eastAsia="DengXian Light"/>
          <w:sz w:val="28"/>
          <w:szCs w:val="28"/>
        </w:rPr>
      </w:pPr>
      <w:r w:rsidRPr="00844820">
        <w:rPr>
          <w:rFonts w:eastAsia="DengXian Light"/>
          <w:sz w:val="28"/>
          <w:szCs w:val="28"/>
        </w:rPr>
        <w:t>- Quy định cơ chế phối hợp giữa các cơ quan quản lý nhà nước có liên quan trong quản lý, giám sát hoạt động giao dịch hàng hóa phái sinh có yếu tố nước ngoài nhằm bảo đảm kiểm soát rủi ro và an toàn thị trường.</w:t>
      </w:r>
    </w:p>
    <w:p w14:paraId="5A73446A" w14:textId="66B74D63" w:rsidR="004D4C6C" w:rsidRPr="00844820" w:rsidRDefault="00F87A87"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b/>
          <w:sz w:val="28"/>
          <w:szCs w:val="28"/>
          <w:lang w:val="vi-VN"/>
        </w:rPr>
      </w:pPr>
      <w:r w:rsidRPr="00844820">
        <w:rPr>
          <w:b/>
          <w:sz w:val="28"/>
          <w:szCs w:val="28"/>
          <w:lang w:val="vi-VN"/>
        </w:rPr>
        <w:t xml:space="preserve">V. NHỮNG NỘI DUNG BỔ SUNG MỚI SO VỚI HỒ SƠ </w:t>
      </w:r>
      <w:r w:rsidR="00D72641" w:rsidRPr="00844820">
        <w:rPr>
          <w:b/>
          <w:sz w:val="28"/>
          <w:szCs w:val="28"/>
        </w:rPr>
        <w:t>DỰ ÁN LUẬT</w:t>
      </w:r>
      <w:r w:rsidRPr="00844820">
        <w:rPr>
          <w:b/>
          <w:sz w:val="28"/>
          <w:szCs w:val="28"/>
          <w:lang w:val="vi-VN"/>
        </w:rPr>
        <w:t xml:space="preserve"> GỬI THẨM ĐỊNH (NẾU CÓ)</w:t>
      </w:r>
    </w:p>
    <w:p w14:paraId="376F33D2" w14:textId="05E92335" w:rsidR="00FB4240" w:rsidRPr="00844820" w:rsidRDefault="00FB4240"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p>
    <w:p w14:paraId="7F1B9A31" w14:textId="5BF85582" w:rsidR="00877605" w:rsidRPr="00844820" w:rsidRDefault="00F87A87"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b/>
          <w:sz w:val="28"/>
          <w:szCs w:val="28"/>
          <w:lang w:val="vi-VN"/>
        </w:rPr>
        <w:t xml:space="preserve">VI. </w:t>
      </w:r>
      <w:r w:rsidR="00877605" w:rsidRPr="00844820">
        <w:rPr>
          <w:b/>
          <w:bCs/>
          <w:sz w:val="28"/>
          <w:szCs w:val="28"/>
        </w:rPr>
        <w:t xml:space="preserve">DỰ KIẾN NGUỒN LỰC, ĐIỀU KIỆN BẢO ĐẢM CHO VIỆC THI HÀNH </w:t>
      </w:r>
      <w:r w:rsidR="00D72641" w:rsidRPr="00844820">
        <w:rPr>
          <w:b/>
          <w:bCs/>
          <w:sz w:val="28"/>
          <w:szCs w:val="28"/>
        </w:rPr>
        <w:t>DỰ ÁN LUẬT</w:t>
      </w:r>
      <w:r w:rsidR="00877605" w:rsidRPr="00844820">
        <w:rPr>
          <w:b/>
          <w:bCs/>
          <w:sz w:val="28"/>
          <w:szCs w:val="28"/>
        </w:rPr>
        <w:t xml:space="preserve"> VÀ THỜI GIAN TRÌNH THÔNG QUA</w:t>
      </w:r>
    </w:p>
    <w:p w14:paraId="30458AB8" w14:textId="29C65B56" w:rsidR="00336BC5"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1. Dự kiến nguồn lực, điều kiện bảo đảm cho việc thi hành Luật</w:t>
      </w:r>
    </w:p>
    <w:p w14:paraId="0245013A" w14:textId="68B1AFCF" w:rsidR="00336BC5" w:rsidRPr="00844820" w:rsidRDefault="001314A3"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1.</w:t>
      </w:r>
      <w:r w:rsidR="00877605" w:rsidRPr="00844820">
        <w:rPr>
          <w:sz w:val="28"/>
          <w:szCs w:val="28"/>
        </w:rPr>
        <w:t>1.</w:t>
      </w:r>
      <w:r w:rsidRPr="00844820">
        <w:rPr>
          <w:sz w:val="28"/>
          <w:szCs w:val="28"/>
        </w:rPr>
        <w:t xml:space="preserve"> Về tổ chức bộ máy và cơ chế thực hiện</w:t>
      </w:r>
    </w:p>
    <w:p w14:paraId="4C6374F3" w14:textId="77777777" w:rsidR="00336BC5" w:rsidRPr="00844820" w:rsidRDefault="00286A28"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 xml:space="preserve">Trước mắt, công tác quản lý nhà nước đối với hoạt động giao dịch hàng hóa phái sinh được thực hiện trên cơ sở bộ máy hiện có của Bộ Công Thương. </w:t>
      </w:r>
    </w:p>
    <w:p w14:paraId="181042DB" w14:textId="77777777" w:rsidR="00336BC5" w:rsidRPr="00844820" w:rsidRDefault="00286A28"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Thực tiễn quốc tế cho thấy hoạt động giao dịch hàng hóa phái sinh thường được quản lý bởi cơ quan hoặc đơn vị chuyên trách có đủ thẩm quyền, nguồn nhân lực và hạ tầng kỹ thuật để thực hiện chức năng quản lý, giám sát thị trường và kiểm soát rủi ro đối với các hoạt động liên quan đến thương mại, tài chính, tín dụng, quản lý ngoại hối và giao dịch điện tử. Do đó, đề nghị Quốc hội giao Chính phủ nghiên cứu, đánh giá và hoàn thiện mô hình tổ chức, cơ chế quản lý phù hợp với quy mô và mức độ phát triển của thị trường giao dịch hàng hóa phái sinh trong từng giai đoạn.</w:t>
      </w:r>
    </w:p>
    <w:p w14:paraId="0C3C254E" w14:textId="704F157B" w:rsidR="00336BC5"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1.</w:t>
      </w:r>
      <w:r w:rsidR="001314A3" w:rsidRPr="00844820">
        <w:rPr>
          <w:sz w:val="28"/>
          <w:szCs w:val="28"/>
        </w:rPr>
        <w:t>2. Về nguồn nhân lực</w:t>
      </w:r>
    </w:p>
    <w:p w14:paraId="6DF528B0" w14:textId="77777777" w:rsidR="00336BC5" w:rsidRPr="00844820" w:rsidRDefault="002F301F"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 xml:space="preserve">Việc triển khai Luật đòi hỏi đội ngũ cán bộ thực hiện nhiệm vụ quản lý nhà nước có kiến thức chuyên môn về giao dịch hàng hóa phái sinh, quản trị rủi ro, thanh toán bù trừ, công nghệ giao dịch, dữ liệu thị trường, tài chính, ngân hàng và ngoại hối. Trước mắt, nguồn nhân lực được bố trí từ đội ngũ công chức hiện có </w:t>
      </w:r>
      <w:r w:rsidR="004371AA" w:rsidRPr="00844820">
        <w:rPr>
          <w:sz w:val="28"/>
          <w:szCs w:val="28"/>
        </w:rPr>
        <w:t>của Bộ Công Thương và các cơ quan có liên quan.</w:t>
      </w:r>
      <w:r w:rsidR="001314A3" w:rsidRPr="00844820">
        <w:rPr>
          <w:sz w:val="28"/>
          <w:szCs w:val="28"/>
        </w:rPr>
        <w:t xml:space="preserve"> </w:t>
      </w:r>
      <w:r w:rsidRPr="00844820">
        <w:rPr>
          <w:sz w:val="28"/>
          <w:szCs w:val="28"/>
        </w:rPr>
        <w:t>Trong dài hạn</w:t>
      </w:r>
      <w:r w:rsidR="001314A3" w:rsidRPr="00844820">
        <w:rPr>
          <w:sz w:val="28"/>
          <w:szCs w:val="28"/>
        </w:rPr>
        <w:t>, cần bố trí nguồn nhân lực có trình độ, năng lực và được đào tạo chuyên sâu đáp ứng nhu cầu phát triển ngày càng cao của lĩnh vực này.</w:t>
      </w:r>
    </w:p>
    <w:p w14:paraId="741160D6" w14:textId="5C695F12" w:rsidR="00336BC5"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1.</w:t>
      </w:r>
      <w:r w:rsidR="001314A3" w:rsidRPr="00844820">
        <w:rPr>
          <w:sz w:val="28"/>
          <w:szCs w:val="28"/>
        </w:rPr>
        <w:t>3. Về hạ tầng công nghệ và hệ thống dữ liệu</w:t>
      </w:r>
    </w:p>
    <w:p w14:paraId="7ABE5E70" w14:textId="77777777" w:rsidR="00336BC5" w:rsidRPr="00844820" w:rsidRDefault="001314A3"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 xml:space="preserve">Do thị trường giao dịch hàng hóa phái sinh có tính chất giao dịch điện tử, liên tục và có yêu cầu cao về giám sát rủi ro, việc triển khai Luật cần từng bước xây dựng và hoàn thiện hạ tầng công nghệ phục vụ quản lý, vận hành và giám sát thị trường. Hiện nay, Bộ Công Thương được giao xây dựng cơ sở dữ liệu nền tảng </w:t>
      </w:r>
      <w:r w:rsidR="002F301F" w:rsidRPr="00844820">
        <w:rPr>
          <w:sz w:val="28"/>
          <w:szCs w:val="28"/>
        </w:rPr>
        <w:t xml:space="preserve">thương mại và thị trường; đồng thời, </w:t>
      </w:r>
      <w:r w:rsidR="002A537C" w:rsidRPr="00844820">
        <w:rPr>
          <w:sz w:val="28"/>
          <w:szCs w:val="28"/>
        </w:rPr>
        <w:t xml:space="preserve">đang </w:t>
      </w:r>
      <w:r w:rsidRPr="00844820">
        <w:rPr>
          <w:sz w:val="28"/>
          <w:szCs w:val="28"/>
        </w:rPr>
        <w:t>xây dựng</w:t>
      </w:r>
      <w:r w:rsidR="002A537C" w:rsidRPr="00844820">
        <w:rPr>
          <w:sz w:val="28"/>
          <w:szCs w:val="28"/>
        </w:rPr>
        <w:t xml:space="preserve"> Thông tư quy định</w:t>
      </w:r>
      <w:r w:rsidRPr="00844820">
        <w:rPr>
          <w:sz w:val="28"/>
          <w:szCs w:val="28"/>
        </w:rPr>
        <w:t xml:space="preserve"> chi tiết về chế độ báo cáo, kết nối dữ liệu giao dịch của Sở giao dịch hàng hóa để thực hiện trách nhiệm quản lý của Bộ Công Thương và các cơ quan trong lĩnh vực này.</w:t>
      </w:r>
    </w:p>
    <w:p w14:paraId="432DD4E0" w14:textId="78A176D5" w:rsidR="00336BC5"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1.</w:t>
      </w:r>
      <w:r w:rsidR="001314A3" w:rsidRPr="00844820">
        <w:rPr>
          <w:sz w:val="28"/>
          <w:szCs w:val="28"/>
        </w:rPr>
        <w:t>4. Về điều kiện bảo đảm từ phía doanh nghiệp và thị trường</w:t>
      </w:r>
    </w:p>
    <w:p w14:paraId="0BDE3FD9" w14:textId="77777777" w:rsidR="00336BC5" w:rsidRPr="00844820" w:rsidRDefault="002F301F"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Nguồn lực đầu tư, xây dựng và vận hành các cấu phần hạ tầng thị trường giao dịch hàng hóa phái sinh, bao gồm Sở giao dịch hàng hóa, Trung tâm thanh toán bù trừ, hệ thống dữ liệu, giám sát thị trường và các hạ tầng kỹ thuật khác, được huy động chủ yếu từ các chủ thể tham gia thị trường và các nguồn lực xã hội hóa theo cơ chế thị trường. Các doanh nghiệp, tổ chức tham gia thị trường có trách nhiệm nâng cao năng lực quản trị, đầu tư hạ tầng kỹ thuật và thực hiện các yêu cầu về quản trị rủi ro theo quy định của pháp luật.</w:t>
      </w:r>
    </w:p>
    <w:p w14:paraId="73633E41" w14:textId="16C7B282" w:rsidR="00336BC5"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1.</w:t>
      </w:r>
      <w:r w:rsidR="001314A3" w:rsidRPr="00844820">
        <w:rPr>
          <w:sz w:val="28"/>
          <w:szCs w:val="28"/>
        </w:rPr>
        <w:t>5. Về kinh phí thực hiện</w:t>
      </w:r>
    </w:p>
    <w:p w14:paraId="79C00227" w14:textId="77777777" w:rsidR="00336BC5" w:rsidRPr="00844820" w:rsidRDefault="005357C4"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 xml:space="preserve">Kinh phí phục vụ công tác </w:t>
      </w:r>
      <w:r w:rsidR="001314A3" w:rsidRPr="00844820">
        <w:rPr>
          <w:sz w:val="28"/>
          <w:szCs w:val="28"/>
        </w:rPr>
        <w:t>xây dựng và hoàn thiện văn bản hướng dẫn thi hành; tổ chức bộ máy chuyên trách, đào tạo, bồi dưỡng nhân lực; xây dựng cơ sở dữ liệu và hệ thống giám sát; nâng cấp hạ tầng công nghệ; tổ chức tuyên truyền, phổ biến pháp luật và hỗ trợ triển kha</w:t>
      </w:r>
      <w:r w:rsidR="005150E2" w:rsidRPr="00844820">
        <w:rPr>
          <w:sz w:val="28"/>
          <w:szCs w:val="28"/>
        </w:rPr>
        <w:t xml:space="preserve">i thị trường </w:t>
      </w:r>
      <w:r w:rsidR="001314A3" w:rsidRPr="00844820">
        <w:rPr>
          <w:sz w:val="28"/>
          <w:szCs w:val="28"/>
        </w:rPr>
        <w:t>được bảo đảm từ các nguồn: ngân sách nhà nước theo phân cấp hiện hành; kinh phí chi thường xuyên của các bộ, ngành có liên quan; nguồn kinh phí thực hiện các chương trình chuyển đổi số và hiện đại hóa quản lý nhà nước; nguồn xã hội hóa và các nguồn hợp pháp khác theo quy định của pháp luật.</w:t>
      </w:r>
    </w:p>
    <w:p w14:paraId="396EA6C5" w14:textId="77777777" w:rsidR="00336BC5" w:rsidRPr="00844820" w:rsidRDefault="005357C4"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Đối với hoạt động đầu tư, xây dựng và vận hành hạ tầng thị trường giao dịch hàng hóa phái sinh, nguồn kinh phí do các doanh nghiệp, tổ chức tham gia thị trường tự bảo đảm theo cơ chế thị trường và các nguồn vốn hợp pháp khác, không làm phát sinh chi thường xuyên từ ngân sách nhà nước.</w:t>
      </w:r>
    </w:p>
    <w:p w14:paraId="5D53A79B" w14:textId="77777777" w:rsidR="002A1B02" w:rsidRPr="00844820" w:rsidRDefault="005357C4"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Trong quá trình triển khai thi hành Luật, căn cứ tình hình phát triển của thị trường, Bộ Công Thương sẽ phối hợp với Bộ Tài chính, Bộ Nội vụ và các cơ quan có liên quan tiếp tục rà soát, đánh giá nhu cầu về</w:t>
      </w:r>
      <w:r w:rsidR="00181E61" w:rsidRPr="00844820">
        <w:rPr>
          <w:sz w:val="28"/>
          <w:szCs w:val="28"/>
        </w:rPr>
        <w:t xml:space="preserve"> tổ chức bộ máy,</w:t>
      </w:r>
      <w:r w:rsidRPr="00844820">
        <w:rPr>
          <w:sz w:val="28"/>
          <w:szCs w:val="28"/>
        </w:rPr>
        <w:t xml:space="preserve"> nguồn nhân lực, nguồn tài chính và hạ tầng công nghệ nhằm bảo đảm triển khai các chính sách của Luật hiệu quả, phù hợp với điều kiện thực tiễn.</w:t>
      </w:r>
    </w:p>
    <w:p w14:paraId="13C28E0D" w14:textId="77777777" w:rsidR="002A1B02"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b/>
          <w:bCs/>
          <w:sz w:val="28"/>
          <w:szCs w:val="28"/>
        </w:rPr>
        <w:t>2. Thời gian trình thông qua dự thảo Luật</w:t>
      </w:r>
    </w:p>
    <w:p w14:paraId="163C5BEE" w14:textId="37B98C1C" w:rsidR="002A1B02" w:rsidRPr="00844820" w:rsidRDefault="00F912A6"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Bộ Công Thương đề xuất Chính phủ trình Quốc hội xem xét, thông qua dự án Luật Giao dịch hàng hóa phái sinh tại Kỳ họp thứ 2, Quốc hội khóa XVI theo Nghị quyết số 119/2026/UBTVQH15 ngày 06/02/2026 của Ủy ban Thường vụ Quốc hội.</w:t>
      </w:r>
    </w:p>
    <w:p w14:paraId="59A47C0F" w14:textId="43FBA9BF" w:rsidR="00565490" w:rsidRPr="00844820" w:rsidRDefault="00565490"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b/>
          <w:sz w:val="28"/>
          <w:szCs w:val="28"/>
        </w:rPr>
      </w:pPr>
      <w:r w:rsidRPr="00844820">
        <w:rPr>
          <w:b/>
          <w:sz w:val="28"/>
          <w:szCs w:val="28"/>
        </w:rPr>
        <w:t>VII. ĐỀ XUẤT, KIẾN NGHỊ</w:t>
      </w:r>
    </w:p>
    <w:p w14:paraId="76F04FED" w14:textId="65CB388C" w:rsidR="00956135" w:rsidRPr="00844820" w:rsidRDefault="0095613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Để bảo đảm thị trường giao dịch hàng hóa phái sinh được vận hành đầy đủ, hiệu quả, minh bạch và an toàn sau khi Luật được ban hành, Bộ Công Thương kiến nghị Chính phủ chỉ đạo tiếp tục rà soát, hoàn thiện và đồng bộ hóa pháp luật có liên quan, bảo đảm tính thống nhất của hệ thống pháp luật, hạn chế chồng chéo, xung đột và khoảng trống pháp lý. Cụ thể:</w:t>
      </w:r>
    </w:p>
    <w:p w14:paraId="7C371BCC" w14:textId="77777777" w:rsidR="00956135" w:rsidRPr="00844820" w:rsidRDefault="0095613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Một là, rà soát, bổ sung lĩnh vực kinh doanh hàng hóa phái sinh vào Danh mục ngành, nghề đầu tư kinh doanh có điều kiện, bao gồm các hoạt động của Sở giao dịch hàng hóa, Trung tâm thanh toán bù trừ, các thành viên và chủ thể kinh doanh, cung cấp dịch vụ có liên quan thuộc diện phải đáp ứng điều kiện, bảo đảm yêu cầu về an toàn hệ thống và quản trị rủi ro.</w:t>
      </w:r>
    </w:p>
    <w:p w14:paraId="6932661B" w14:textId="77777777" w:rsidR="00956135" w:rsidRPr="00844820" w:rsidRDefault="0095613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Hai là, rà soát, hoàn thiện pháp luật về kế toán và các văn bản hướng dẫn để có chế độ kế toán phù hợp với đặc thù của giao dịch hàng hóa phái sinh, nhất là đối với ký quỹ, thanh toán bù trừ, ghi nhận và đánh giá hợp đồng, lãi, lỗ, phí giao dịch, giao dịch phòng ngừa rủi ro và trường hợp tất toán bằng giao nhận hàng hóa thực tế, bảo đảm thống nhất giữa kế toán, thuế và quản trị rủi ro của doanh nghiệp.</w:t>
      </w:r>
    </w:p>
    <w:p w14:paraId="2E30AC90" w14:textId="4D840388" w:rsidR="00565490" w:rsidRPr="00844820" w:rsidRDefault="0095613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Việc rà soát, hoàn thiện các quy định nêu trên được thực hiện theo lộ trình phù hợp, gắn với quá trình xây dựng văn bản quy định chi tiết và tổ chức thi hành Luật, bảo đảm triển khai đồng bộ và hạn chế phát sinh khoảng trống pháp lý</w:t>
      </w:r>
      <w:r w:rsidR="00565490" w:rsidRPr="00844820">
        <w:rPr>
          <w:sz w:val="28"/>
          <w:szCs w:val="28"/>
        </w:rPr>
        <w:t>.</w:t>
      </w:r>
    </w:p>
    <w:p w14:paraId="43460C45" w14:textId="77777777" w:rsidR="002A1B02"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sz w:val="28"/>
          <w:szCs w:val="28"/>
        </w:rPr>
        <w:t>Trên đây là Tờ trình dự án Luật Giao dịch hàng hóa phái sinh, Bộ Công Thương xin kính trình Chính phủ xem xét, quyết định.</w:t>
      </w:r>
    </w:p>
    <w:p w14:paraId="09E6CEED" w14:textId="144557CD" w:rsidR="00877605" w:rsidRPr="00844820" w:rsidRDefault="00877605" w:rsidP="00956135">
      <w:pPr>
        <w:widowControl w:val="0"/>
        <w:pBdr>
          <w:top w:val="dotted" w:sz="4" w:space="0" w:color="FFFFFF"/>
          <w:left w:val="dotted" w:sz="4" w:space="0" w:color="FFFFFF"/>
          <w:bottom w:val="dotted" w:sz="4" w:space="15" w:color="FFFFFF"/>
          <w:right w:val="dotted" w:sz="4" w:space="29" w:color="FFFFFF"/>
        </w:pBdr>
        <w:shd w:val="clear" w:color="auto" w:fill="FFFFFF"/>
        <w:tabs>
          <w:tab w:val="left" w:pos="709"/>
          <w:tab w:val="left" w:pos="3765"/>
          <w:tab w:val="left" w:pos="6405"/>
        </w:tabs>
        <w:spacing w:before="120" w:after="120" w:line="264" w:lineRule="auto"/>
        <w:rPr>
          <w:sz w:val="28"/>
          <w:szCs w:val="28"/>
        </w:rPr>
      </w:pPr>
      <w:r w:rsidRPr="00844820">
        <w:rPr>
          <w:i/>
          <w:iCs/>
          <w:sz w:val="28"/>
          <w:szCs w:val="28"/>
        </w:rPr>
        <w:t>(Xin gửi kèm theo: (1) Dự thảo luật; (2) Báo cáo tổng kết việc thi hành pháp luật; (3) Báo cáo rà soát các chủ trương, đường lối của Đảng, văn bản quy phạm pháp luật, điều ước quốc tế; (4) Bản đánh giá thủ tục hành chính, việc phân quyền, phân cấp, việc ứng dụng, thúc đẩy phát triển khoa học, công nghệ, đổi mới sáng tạo và chuyển đổi số, việc bảo đảm bình đẳng giới, chính sách dân tộc;; (6) Báo cáo kinh nghiệ</w:t>
      </w:r>
      <w:r w:rsidR="005E5700" w:rsidRPr="00844820">
        <w:rPr>
          <w:i/>
          <w:iCs/>
          <w:sz w:val="28"/>
          <w:szCs w:val="28"/>
        </w:rPr>
        <w:t>m</w:t>
      </w:r>
      <w:r w:rsidRPr="00844820">
        <w:rPr>
          <w:i/>
          <w:iCs/>
          <w:sz w:val="28"/>
          <w:szCs w:val="28"/>
        </w:rPr>
        <w:t xml:space="preserve"> quốc tế; (7) Bản tổng hợp ý kiến, tiếp thu, giải trình ý kiến góp ý, phản biện xã hội; (8) Báo cáo thẩm định của Bộ Tư pháp; (9) Báo cáo tiếp thu, giải trình ý kiến thẩm định của Bộ Tư pháp; Các tài liệu khác có liên quan)./.</w:t>
      </w:r>
    </w:p>
    <w:p w14:paraId="1D873B33" w14:textId="77777777" w:rsidR="005E5700" w:rsidRPr="00844820" w:rsidRDefault="005E5700" w:rsidP="00877605">
      <w:pPr>
        <w:widowControl w:val="0"/>
        <w:shd w:val="clear" w:color="auto" w:fill="FFFFFF"/>
        <w:spacing w:before="120" w:line="264" w:lineRule="auto"/>
        <w:rPr>
          <w:i/>
          <w:iCs/>
          <w:sz w:val="28"/>
          <w:szCs w:val="28"/>
        </w:rPr>
      </w:pPr>
    </w:p>
    <w:tbl>
      <w:tblPr>
        <w:tblW w:w="8505" w:type="dxa"/>
        <w:tblLayout w:type="fixed"/>
        <w:tblLook w:val="01E0" w:firstRow="1" w:lastRow="1" w:firstColumn="1" w:lastColumn="1" w:noHBand="0" w:noVBand="0"/>
      </w:tblPr>
      <w:tblGrid>
        <w:gridCol w:w="4786"/>
        <w:gridCol w:w="3719"/>
      </w:tblGrid>
      <w:tr w:rsidR="0022242E" w:rsidRPr="00844820" w14:paraId="107A5598" w14:textId="77777777" w:rsidTr="00E60923">
        <w:trPr>
          <w:trHeight w:val="1666"/>
        </w:trPr>
        <w:tc>
          <w:tcPr>
            <w:tcW w:w="4786" w:type="dxa"/>
          </w:tcPr>
          <w:p w14:paraId="1C692A60" w14:textId="77777777" w:rsidR="0022242E" w:rsidRPr="00844820" w:rsidRDefault="0022242E" w:rsidP="001C5672">
            <w:pPr>
              <w:widowControl w:val="0"/>
              <w:pBdr>
                <w:top w:val="nil"/>
                <w:left w:val="nil"/>
                <w:bottom w:val="nil"/>
                <w:right w:val="nil"/>
                <w:between w:val="nil"/>
              </w:pBdr>
              <w:spacing w:before="0" w:line="264" w:lineRule="auto"/>
              <w:ind w:firstLine="0"/>
              <w:jc w:val="left"/>
              <w:rPr>
                <w:sz w:val="24"/>
                <w:szCs w:val="24"/>
                <w:lang w:val="vi-VN"/>
              </w:rPr>
            </w:pPr>
            <w:r w:rsidRPr="00844820">
              <w:rPr>
                <w:b/>
                <w:i/>
                <w:sz w:val="24"/>
                <w:szCs w:val="24"/>
                <w:lang w:val="vi-VN"/>
              </w:rPr>
              <w:t>Nơi nhận:</w:t>
            </w:r>
          </w:p>
          <w:p w14:paraId="098B5655" w14:textId="77777777" w:rsidR="0022242E" w:rsidRPr="00844820" w:rsidRDefault="0022242E" w:rsidP="001C5672">
            <w:pPr>
              <w:widowControl w:val="0"/>
              <w:pBdr>
                <w:top w:val="nil"/>
                <w:left w:val="nil"/>
                <w:bottom w:val="nil"/>
                <w:right w:val="nil"/>
                <w:between w:val="nil"/>
              </w:pBdr>
              <w:spacing w:before="0" w:line="264" w:lineRule="auto"/>
              <w:ind w:firstLine="0"/>
              <w:jc w:val="left"/>
              <w:rPr>
                <w:sz w:val="22"/>
                <w:szCs w:val="22"/>
                <w:lang w:val="vi-VN"/>
              </w:rPr>
            </w:pPr>
            <w:r w:rsidRPr="00844820">
              <w:rPr>
                <w:b/>
                <w:bCs/>
                <w:sz w:val="22"/>
                <w:szCs w:val="22"/>
                <w:lang w:val="vi-VN"/>
              </w:rPr>
              <w:t>-</w:t>
            </w:r>
            <w:r w:rsidRPr="00844820">
              <w:rPr>
                <w:sz w:val="28"/>
                <w:szCs w:val="28"/>
                <w:lang w:val="vi-VN"/>
              </w:rPr>
              <w:t xml:space="preserve"> </w:t>
            </w:r>
            <w:r w:rsidRPr="00844820">
              <w:rPr>
                <w:sz w:val="22"/>
                <w:szCs w:val="22"/>
                <w:lang w:val="vi-VN"/>
              </w:rPr>
              <w:t>Như trên;</w:t>
            </w:r>
          </w:p>
          <w:p w14:paraId="75C984F0" w14:textId="5A73740E" w:rsidR="0022242E" w:rsidRPr="00844820" w:rsidRDefault="0022242E" w:rsidP="001C5672">
            <w:pPr>
              <w:widowControl w:val="0"/>
              <w:pBdr>
                <w:top w:val="nil"/>
                <w:left w:val="nil"/>
                <w:bottom w:val="nil"/>
                <w:right w:val="nil"/>
                <w:between w:val="nil"/>
              </w:pBdr>
              <w:spacing w:before="0" w:line="264" w:lineRule="auto"/>
              <w:ind w:firstLine="0"/>
              <w:jc w:val="left"/>
              <w:rPr>
                <w:sz w:val="22"/>
                <w:szCs w:val="22"/>
                <w:lang w:val="vi-VN"/>
              </w:rPr>
            </w:pPr>
            <w:r w:rsidRPr="00844820">
              <w:rPr>
                <w:sz w:val="22"/>
                <w:szCs w:val="22"/>
                <w:lang w:val="vi-VN"/>
              </w:rPr>
              <w:t xml:space="preserve">- </w:t>
            </w:r>
            <w:r w:rsidR="00F66D3E" w:rsidRPr="00844820">
              <w:rPr>
                <w:sz w:val="22"/>
                <w:szCs w:val="22"/>
                <w:lang w:val="vi-VN"/>
              </w:rPr>
              <w:t>Văn phòng Chính phủ</w:t>
            </w:r>
            <w:r w:rsidR="003C5A2D" w:rsidRPr="00844820">
              <w:rPr>
                <w:sz w:val="22"/>
                <w:szCs w:val="22"/>
                <w:lang w:val="vi-VN"/>
              </w:rPr>
              <w:t xml:space="preserve"> (để p/h)</w:t>
            </w:r>
            <w:r w:rsidR="00F66D3E" w:rsidRPr="00844820">
              <w:rPr>
                <w:sz w:val="22"/>
                <w:szCs w:val="22"/>
                <w:lang w:val="vi-VN"/>
              </w:rPr>
              <w:t>;</w:t>
            </w:r>
          </w:p>
          <w:p w14:paraId="2B50A15F" w14:textId="662D8EDF" w:rsidR="003C5A2D" w:rsidRPr="00844820" w:rsidRDefault="003C5A2D" w:rsidP="001C5672">
            <w:pPr>
              <w:widowControl w:val="0"/>
              <w:spacing w:before="0" w:line="264" w:lineRule="auto"/>
              <w:ind w:firstLine="0"/>
              <w:rPr>
                <w:sz w:val="22"/>
                <w:szCs w:val="22"/>
                <w:lang w:val="zu-ZA"/>
              </w:rPr>
            </w:pPr>
            <w:r w:rsidRPr="00844820">
              <w:rPr>
                <w:sz w:val="22"/>
                <w:szCs w:val="22"/>
                <w:lang w:val="zu-ZA"/>
              </w:rPr>
              <w:t xml:space="preserve">- </w:t>
            </w:r>
            <w:r w:rsidR="008A4DF4" w:rsidRPr="00844820">
              <w:rPr>
                <w:sz w:val="22"/>
                <w:szCs w:val="22"/>
                <w:lang w:val="zu-ZA"/>
              </w:rPr>
              <w:t>TTgCP, các PTTgCP</w:t>
            </w:r>
            <w:r w:rsidRPr="00844820">
              <w:rPr>
                <w:sz w:val="22"/>
                <w:szCs w:val="22"/>
                <w:lang w:val="zu-ZA"/>
              </w:rPr>
              <w:t xml:space="preserve"> (để b/c);</w:t>
            </w:r>
          </w:p>
          <w:p w14:paraId="4BCA877C" w14:textId="0DB736CC" w:rsidR="006265AB" w:rsidRPr="00844820" w:rsidRDefault="0022242E" w:rsidP="001C5672">
            <w:pPr>
              <w:widowControl w:val="0"/>
              <w:pBdr>
                <w:top w:val="nil"/>
                <w:left w:val="nil"/>
                <w:bottom w:val="nil"/>
                <w:right w:val="nil"/>
                <w:between w:val="nil"/>
              </w:pBdr>
              <w:spacing w:before="0" w:line="264" w:lineRule="auto"/>
              <w:ind w:firstLine="0"/>
              <w:jc w:val="left"/>
              <w:rPr>
                <w:sz w:val="22"/>
                <w:szCs w:val="22"/>
              </w:rPr>
            </w:pPr>
            <w:r w:rsidRPr="00844820">
              <w:rPr>
                <w:sz w:val="22"/>
                <w:szCs w:val="22"/>
                <w:lang w:val="zu-ZA"/>
              </w:rPr>
              <w:t xml:space="preserve">- </w:t>
            </w:r>
            <w:r w:rsidR="005F320E" w:rsidRPr="00844820">
              <w:rPr>
                <w:sz w:val="22"/>
                <w:szCs w:val="22"/>
                <w:lang w:val="zu-ZA"/>
              </w:rPr>
              <w:t>Các Bộ, cơ quan ngang Bộ;</w:t>
            </w:r>
          </w:p>
          <w:p w14:paraId="1B656284" w14:textId="143318BB" w:rsidR="00DB065F" w:rsidRPr="00844820" w:rsidRDefault="00DB065F" w:rsidP="001C5672">
            <w:pPr>
              <w:widowControl w:val="0"/>
              <w:pBdr>
                <w:top w:val="nil"/>
                <w:left w:val="nil"/>
                <w:bottom w:val="nil"/>
                <w:right w:val="nil"/>
                <w:between w:val="nil"/>
              </w:pBdr>
              <w:spacing w:before="0" w:line="264" w:lineRule="auto"/>
              <w:ind w:firstLine="0"/>
              <w:jc w:val="left"/>
              <w:rPr>
                <w:sz w:val="22"/>
                <w:szCs w:val="22"/>
              </w:rPr>
            </w:pPr>
            <w:r w:rsidRPr="00844820">
              <w:rPr>
                <w:sz w:val="22"/>
                <w:szCs w:val="22"/>
              </w:rPr>
              <w:t xml:space="preserve">- </w:t>
            </w:r>
            <w:r w:rsidR="005F320E" w:rsidRPr="00844820">
              <w:rPr>
                <w:sz w:val="22"/>
                <w:szCs w:val="22"/>
              </w:rPr>
              <w:t xml:space="preserve">Các </w:t>
            </w:r>
            <w:r w:rsidRPr="00844820">
              <w:rPr>
                <w:sz w:val="22"/>
                <w:szCs w:val="22"/>
              </w:rPr>
              <w:t>Th</w:t>
            </w:r>
            <w:r w:rsidR="00317946" w:rsidRPr="00844820">
              <w:rPr>
                <w:sz w:val="22"/>
                <w:szCs w:val="22"/>
              </w:rPr>
              <w:t>ứ trưởng</w:t>
            </w:r>
            <w:r w:rsidRPr="00844820">
              <w:rPr>
                <w:sz w:val="22"/>
                <w:szCs w:val="22"/>
              </w:rPr>
              <w:t>;</w:t>
            </w:r>
          </w:p>
          <w:p w14:paraId="29753FB2" w14:textId="228A9C41" w:rsidR="00DB065F" w:rsidRPr="00844820" w:rsidRDefault="004D6B39" w:rsidP="001C5672">
            <w:pPr>
              <w:widowControl w:val="0"/>
              <w:pBdr>
                <w:top w:val="nil"/>
                <w:left w:val="nil"/>
                <w:bottom w:val="nil"/>
                <w:right w:val="nil"/>
                <w:between w:val="nil"/>
              </w:pBdr>
              <w:spacing w:before="0" w:line="264" w:lineRule="auto"/>
              <w:ind w:firstLine="0"/>
              <w:jc w:val="left"/>
              <w:rPr>
                <w:sz w:val="22"/>
                <w:szCs w:val="22"/>
              </w:rPr>
            </w:pPr>
            <w:r w:rsidRPr="00844820">
              <w:rPr>
                <w:sz w:val="22"/>
                <w:szCs w:val="22"/>
              </w:rPr>
              <w:t>-</w:t>
            </w:r>
            <w:r w:rsidR="00F87A87" w:rsidRPr="00844820">
              <w:rPr>
                <w:sz w:val="22"/>
                <w:szCs w:val="22"/>
              </w:rPr>
              <w:t xml:space="preserve"> </w:t>
            </w:r>
            <w:r w:rsidR="00A864F3" w:rsidRPr="00844820">
              <w:rPr>
                <w:sz w:val="22"/>
                <w:szCs w:val="22"/>
              </w:rPr>
              <w:t>Vụ PC (MOIT</w:t>
            </w:r>
            <w:r w:rsidR="00DB065F" w:rsidRPr="00844820">
              <w:rPr>
                <w:sz w:val="22"/>
                <w:szCs w:val="22"/>
              </w:rPr>
              <w:t>);</w:t>
            </w:r>
          </w:p>
          <w:p w14:paraId="545AA9D7" w14:textId="6F577824" w:rsidR="0022242E" w:rsidRPr="00844820" w:rsidRDefault="0022242E" w:rsidP="001C5672">
            <w:pPr>
              <w:widowControl w:val="0"/>
              <w:spacing w:before="0" w:line="264" w:lineRule="auto"/>
              <w:ind w:firstLine="0"/>
              <w:jc w:val="left"/>
              <w:rPr>
                <w:sz w:val="28"/>
                <w:szCs w:val="28"/>
              </w:rPr>
            </w:pPr>
            <w:r w:rsidRPr="00844820">
              <w:rPr>
                <w:sz w:val="22"/>
                <w:szCs w:val="22"/>
              </w:rPr>
              <w:t xml:space="preserve">- Lưu: </w:t>
            </w:r>
            <w:r w:rsidR="0082526F" w:rsidRPr="00844820">
              <w:rPr>
                <w:sz w:val="22"/>
                <w:szCs w:val="22"/>
              </w:rPr>
              <w:t xml:space="preserve">VT, </w:t>
            </w:r>
            <w:r w:rsidR="009A3B48" w:rsidRPr="00844820">
              <w:rPr>
                <w:sz w:val="22"/>
                <w:szCs w:val="22"/>
              </w:rPr>
              <w:t>TTTN</w:t>
            </w:r>
            <w:r w:rsidR="009C708C">
              <w:rPr>
                <w:sz w:val="22"/>
                <w:szCs w:val="22"/>
              </w:rPr>
              <w:t xml:space="preserve"> </w:t>
            </w:r>
            <w:r w:rsidR="00F02A2C" w:rsidRPr="00844820">
              <w:rPr>
                <w:sz w:val="22"/>
                <w:szCs w:val="22"/>
              </w:rPr>
              <w:t>(</w:t>
            </w:r>
            <w:r w:rsidR="008A4DF4" w:rsidRPr="00844820">
              <w:rPr>
                <w:sz w:val="22"/>
                <w:szCs w:val="22"/>
              </w:rPr>
              <w:t>C</w:t>
            </w:r>
            <w:r w:rsidR="00F02A2C" w:rsidRPr="00844820">
              <w:rPr>
                <w:sz w:val="22"/>
                <w:szCs w:val="22"/>
              </w:rPr>
              <w:t>hinh</w:t>
            </w:r>
            <w:r w:rsidR="008A4DF4" w:rsidRPr="00844820">
              <w:rPr>
                <w:sz w:val="22"/>
                <w:szCs w:val="22"/>
              </w:rPr>
              <w:t>LT</w:t>
            </w:r>
            <w:r w:rsidR="0082526F" w:rsidRPr="00844820">
              <w:rPr>
                <w:sz w:val="22"/>
                <w:szCs w:val="22"/>
              </w:rPr>
              <w:t>)</w:t>
            </w:r>
            <w:r w:rsidRPr="00844820">
              <w:rPr>
                <w:sz w:val="22"/>
                <w:szCs w:val="22"/>
              </w:rPr>
              <w:t>.</w:t>
            </w:r>
          </w:p>
        </w:tc>
        <w:tc>
          <w:tcPr>
            <w:tcW w:w="3719" w:type="dxa"/>
          </w:tcPr>
          <w:p w14:paraId="51CC7E97" w14:textId="53389A72" w:rsidR="0022242E" w:rsidRPr="00844820" w:rsidRDefault="0022242E" w:rsidP="001C5672">
            <w:pPr>
              <w:widowControl w:val="0"/>
              <w:spacing w:before="120" w:after="120" w:line="264" w:lineRule="auto"/>
              <w:ind w:firstLine="709"/>
              <w:jc w:val="center"/>
              <w:rPr>
                <w:b/>
                <w:spacing w:val="-6"/>
                <w:sz w:val="28"/>
                <w:szCs w:val="28"/>
              </w:rPr>
            </w:pPr>
            <w:r w:rsidRPr="00844820">
              <w:rPr>
                <w:b/>
                <w:spacing w:val="-6"/>
                <w:sz w:val="28"/>
                <w:szCs w:val="28"/>
              </w:rPr>
              <w:t xml:space="preserve">BỘ TRƯỞNG </w:t>
            </w:r>
          </w:p>
          <w:p w14:paraId="2D2150E1" w14:textId="77777777" w:rsidR="0022242E" w:rsidRPr="00844820" w:rsidRDefault="0022242E" w:rsidP="001C5672">
            <w:pPr>
              <w:widowControl w:val="0"/>
              <w:autoSpaceDE w:val="0"/>
              <w:autoSpaceDN w:val="0"/>
              <w:adjustRightInd w:val="0"/>
              <w:spacing w:before="120" w:after="120" w:line="264" w:lineRule="auto"/>
              <w:ind w:firstLine="709"/>
              <w:jc w:val="center"/>
              <w:textAlignment w:val="center"/>
              <w:rPr>
                <w:b/>
                <w:sz w:val="28"/>
                <w:szCs w:val="28"/>
              </w:rPr>
            </w:pPr>
          </w:p>
          <w:p w14:paraId="1BEB1B04" w14:textId="30C2142E" w:rsidR="0022242E" w:rsidRPr="00844820" w:rsidRDefault="0022242E" w:rsidP="001C5672">
            <w:pPr>
              <w:widowControl w:val="0"/>
              <w:autoSpaceDE w:val="0"/>
              <w:autoSpaceDN w:val="0"/>
              <w:adjustRightInd w:val="0"/>
              <w:spacing w:before="120" w:after="120" w:line="264" w:lineRule="auto"/>
              <w:ind w:firstLine="709"/>
              <w:jc w:val="center"/>
              <w:textAlignment w:val="center"/>
              <w:rPr>
                <w:b/>
                <w:sz w:val="28"/>
                <w:szCs w:val="28"/>
              </w:rPr>
            </w:pPr>
          </w:p>
          <w:p w14:paraId="3C5B5608" w14:textId="38DFCB73" w:rsidR="00502125" w:rsidRPr="00844820" w:rsidRDefault="00502125" w:rsidP="001C5672">
            <w:pPr>
              <w:widowControl w:val="0"/>
              <w:autoSpaceDE w:val="0"/>
              <w:autoSpaceDN w:val="0"/>
              <w:adjustRightInd w:val="0"/>
              <w:spacing w:before="120" w:after="120" w:line="264" w:lineRule="auto"/>
              <w:ind w:firstLine="709"/>
              <w:jc w:val="center"/>
              <w:textAlignment w:val="center"/>
              <w:rPr>
                <w:b/>
                <w:sz w:val="28"/>
                <w:szCs w:val="28"/>
              </w:rPr>
            </w:pPr>
          </w:p>
          <w:p w14:paraId="1824D837" w14:textId="77777777" w:rsidR="00502125" w:rsidRPr="00844820" w:rsidRDefault="00502125" w:rsidP="001C5672">
            <w:pPr>
              <w:widowControl w:val="0"/>
              <w:autoSpaceDE w:val="0"/>
              <w:autoSpaceDN w:val="0"/>
              <w:adjustRightInd w:val="0"/>
              <w:spacing w:before="120" w:after="120" w:line="264" w:lineRule="auto"/>
              <w:ind w:firstLine="709"/>
              <w:jc w:val="center"/>
              <w:textAlignment w:val="center"/>
              <w:rPr>
                <w:b/>
                <w:bCs/>
                <w:sz w:val="28"/>
                <w:szCs w:val="28"/>
              </w:rPr>
            </w:pPr>
          </w:p>
          <w:p w14:paraId="25783AF3" w14:textId="0AEC74EE" w:rsidR="0022242E" w:rsidRPr="00844820" w:rsidRDefault="008A1A98" w:rsidP="001C5672">
            <w:pPr>
              <w:widowControl w:val="0"/>
              <w:spacing w:before="120" w:after="120" w:line="264" w:lineRule="auto"/>
              <w:ind w:firstLine="709"/>
              <w:jc w:val="center"/>
              <w:rPr>
                <w:b/>
                <w:sz w:val="28"/>
                <w:szCs w:val="28"/>
              </w:rPr>
            </w:pPr>
            <w:r w:rsidRPr="00844820">
              <w:rPr>
                <w:b/>
                <w:sz w:val="28"/>
                <w:szCs w:val="28"/>
              </w:rPr>
              <w:t>Lê Mạnh Hùng</w:t>
            </w:r>
          </w:p>
        </w:tc>
      </w:tr>
    </w:tbl>
    <w:p w14:paraId="69EB6B31" w14:textId="77777777" w:rsidR="00944AFE" w:rsidRPr="00844820" w:rsidRDefault="00944AFE" w:rsidP="001C5672">
      <w:pPr>
        <w:widowControl w:val="0"/>
        <w:pBdr>
          <w:top w:val="nil"/>
          <w:left w:val="nil"/>
          <w:bottom w:val="nil"/>
          <w:right w:val="nil"/>
          <w:between w:val="nil"/>
        </w:pBdr>
        <w:spacing w:before="120" w:after="120" w:line="264" w:lineRule="auto"/>
        <w:ind w:firstLine="709"/>
        <w:rPr>
          <w:sz w:val="28"/>
          <w:szCs w:val="28"/>
        </w:rPr>
      </w:pPr>
    </w:p>
    <w:sectPr w:rsidR="00944AFE" w:rsidRPr="00844820" w:rsidSect="007B2D32">
      <w:headerReference w:type="default" r:id="rId9"/>
      <w:headerReference w:type="first" r:id="rId10"/>
      <w:pgSz w:w="11907" w:h="16840" w:code="9"/>
      <w:pgMar w:top="1134" w:right="1134" w:bottom="1134" w:left="1701" w:header="567"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88376" w14:textId="77777777" w:rsidR="00B03998" w:rsidRDefault="00B03998">
      <w:pPr>
        <w:spacing w:before="0"/>
      </w:pPr>
      <w:r>
        <w:separator/>
      </w:r>
    </w:p>
  </w:endnote>
  <w:endnote w:type="continuationSeparator" w:id="0">
    <w:p w14:paraId="6B213EF0" w14:textId="77777777" w:rsidR="00B03998" w:rsidRDefault="00B0399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5477B" w14:textId="77777777" w:rsidR="00B03998" w:rsidRDefault="00B03998">
      <w:pPr>
        <w:spacing w:before="0"/>
      </w:pPr>
      <w:r>
        <w:separator/>
      </w:r>
    </w:p>
  </w:footnote>
  <w:footnote w:type="continuationSeparator" w:id="0">
    <w:p w14:paraId="5050BDC6" w14:textId="77777777" w:rsidR="00B03998" w:rsidRDefault="00B03998">
      <w:pPr>
        <w:spacing w:before="0"/>
      </w:pPr>
      <w:r>
        <w:continuationSeparator/>
      </w:r>
    </w:p>
  </w:footnote>
  <w:footnote w:id="1">
    <w:p w14:paraId="61DD3EAA" w14:textId="77777777" w:rsidR="00CC481B" w:rsidRDefault="00CC481B" w:rsidP="00083671">
      <w:pPr>
        <w:pStyle w:val="FootnoteText"/>
      </w:pPr>
      <w:r>
        <w:rPr>
          <w:rStyle w:val="FootnoteReference"/>
        </w:rPr>
        <w:footnoteRef/>
      </w:r>
      <w:r>
        <w:t xml:space="preserve"> </w:t>
      </w:r>
      <w:r w:rsidRPr="00ED53F9">
        <w:t>Hiện nay phần lớn các giao dịch hàng hóa xuất nhập khẩu của doanh nghiệp Việt Nam sử dụng giá tham chiếu từ các sở giao dịch hàng hóa quốc tế như CME</w:t>
      </w:r>
      <w:r>
        <w:t xml:space="preserve">, </w:t>
      </w:r>
      <w:r w:rsidRPr="00ED53F9">
        <w:t>ICE, LME và Bursa Malaysia</w:t>
      </w:r>
      <w:r>
        <w:t>, SGX…</w:t>
      </w:r>
      <w:r w:rsidRPr="00ED53F9">
        <w:t xml:space="preserve"> trong khi Việt Nam chưa hình thành được các mức giá tham chiếu có ảnh hưởng đáng kể đối với các mặt hàng có thế mạnh xuất khẩu.</w:t>
      </w:r>
    </w:p>
  </w:footnote>
  <w:footnote w:id="2">
    <w:p w14:paraId="7FB9E223" w14:textId="77777777" w:rsidR="00CC481B" w:rsidRDefault="00CC481B" w:rsidP="00083671">
      <w:pPr>
        <w:pStyle w:val="FootnoteText"/>
        <w:spacing w:before="60" w:after="60"/>
      </w:pPr>
      <w:r>
        <w:rPr>
          <w:rStyle w:val="FootnoteReference"/>
        </w:rPr>
        <w:footnoteRef/>
      </w:r>
      <w:r w:rsidRPr="00ED53F9">
        <w:t xml:space="preserve"> Hợp đồng tương lai dầu cọ thô (Crude Palm Oil Futures - FCPO) được giao dịch tại Bursa Malaysia Derivatives hiện là một trong những mức giá tham chiếu quan trọng nhất đối với thị trường dầu cọ thế giới và được sử dụng rộng rãi trong hoạt động thương mại quốc tế.</w:t>
      </w:r>
    </w:p>
  </w:footnote>
  <w:footnote w:id="3">
    <w:p w14:paraId="19254583" w14:textId="77777777" w:rsidR="00CC481B" w:rsidRDefault="00CC481B" w:rsidP="00083671">
      <w:pPr>
        <w:pStyle w:val="FootnoteText"/>
        <w:spacing w:before="60" w:after="60"/>
      </w:pPr>
      <w:r>
        <w:rPr>
          <w:rStyle w:val="FootnoteReference"/>
        </w:rPr>
        <w:footnoteRef/>
      </w:r>
      <w:r>
        <w:t xml:space="preserve"> </w:t>
      </w:r>
      <w:r w:rsidRPr="00E84707">
        <w:t>Tại nhiều quốc gia, các doanh nghiệp hoạt động trong lĩnh vực năng lượng, hàng không, nông nghiệp và nguyên liệu công nghiệp thường xuyên sử dụng các công cụ phái sinh để phòng ngừa rủi ro biến động giá, góp phần ổn định chi phí sản xuất, kinh doanh và bảo đảm an ninh năng lượng.</w:t>
      </w:r>
    </w:p>
  </w:footnote>
  <w:footnote w:id="4">
    <w:p w14:paraId="45E8828A" w14:textId="77777777" w:rsidR="00CC481B" w:rsidRDefault="00CC481B" w:rsidP="00083671">
      <w:pPr>
        <w:pStyle w:val="FootnoteText"/>
      </w:pPr>
      <w:r>
        <w:rPr>
          <w:rStyle w:val="FootnoteReference"/>
        </w:rPr>
        <w:footnoteRef/>
      </w:r>
      <w:r>
        <w:t xml:space="preserve"> Theo số liệu do Ngân hàng Nhà nước Việt Nam cung cấp tại Công văn số 4045/NHNN-QLNH ngày 18/5/2026</w:t>
      </w:r>
    </w:p>
  </w:footnote>
  <w:footnote w:id="5">
    <w:p w14:paraId="03E4BAB5" w14:textId="77777777" w:rsidR="00CC481B" w:rsidRDefault="00CC481B" w:rsidP="00083671">
      <w:pPr>
        <w:pStyle w:val="FootnoteText"/>
      </w:pPr>
      <w:r>
        <w:rPr>
          <w:rStyle w:val="FootnoteReference"/>
        </w:rPr>
        <w:footnoteRef/>
      </w:r>
      <w:r>
        <w:t xml:space="preserve"> </w:t>
      </w:r>
      <w:r w:rsidRPr="00935CD1">
        <w:t xml:space="preserve">Hoa Kỳ điều chỉnh thị trường giao dịch hàng hóa phái sinh thông qua </w:t>
      </w:r>
      <w:r w:rsidRPr="00935CD1">
        <w:rPr>
          <w:i/>
          <w:iCs/>
        </w:rPr>
        <w:t>Commodity Exchange Act (CEA)</w:t>
      </w:r>
      <w:r w:rsidRPr="00935CD1">
        <w:t xml:space="preserve"> và hệ thống quy định của Commodity Futures Trading Commission (CFTC); Liên minh châu Âu điều chỉnh hoạt động giao dịch công cụ phái sinh thông qua khuôn khổ </w:t>
      </w:r>
      <w:r w:rsidRPr="00935CD1">
        <w:rPr>
          <w:i/>
          <w:iCs/>
        </w:rPr>
        <w:t>Markets in Financial Instruments Directive II (MiFID II)</w:t>
      </w:r>
      <w:r w:rsidRPr="00935CD1">
        <w:t xml:space="preserve"> và </w:t>
      </w:r>
      <w:r w:rsidRPr="00935CD1">
        <w:rPr>
          <w:i/>
          <w:iCs/>
        </w:rPr>
        <w:t>European Market Infrastructure Regulation (EMIR)</w:t>
      </w:r>
      <w:r w:rsidRPr="00935CD1">
        <w:t xml:space="preserve">; Nhật Bản điều chỉnh giao dịch hàng hóa phái sinh thông qua </w:t>
      </w:r>
      <w:r w:rsidRPr="00935CD1">
        <w:rPr>
          <w:i/>
          <w:iCs/>
        </w:rPr>
        <w:t>Commodity Derivatives Act</w:t>
      </w:r>
      <w:r w:rsidRPr="00935CD1">
        <w:t xml:space="preserve">; Singapore điều chỉnh hoạt động giao dịch phái sinh thông qua </w:t>
      </w:r>
      <w:r w:rsidRPr="00935CD1">
        <w:rPr>
          <w:i/>
          <w:iCs/>
        </w:rPr>
        <w:t>Securities and Futures Act</w:t>
      </w:r>
      <w:r w:rsidRPr="00935CD1">
        <w:t>. Các khuôn khổ pháp lý này đều thiết lập cơ chế quản lý thống nhất đối với hoạt động giao dịch, thanh toán bù trừ, quản trị rủi ro và giám sát thị trường.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C919A" w14:textId="22A89703" w:rsidR="00CC481B" w:rsidRPr="0022242E" w:rsidRDefault="00CC481B" w:rsidP="0022242E">
    <w:pPr>
      <w:pBdr>
        <w:top w:val="nil"/>
        <w:left w:val="nil"/>
        <w:bottom w:val="nil"/>
        <w:right w:val="nil"/>
        <w:between w:val="nil"/>
      </w:pBdr>
      <w:ind w:firstLine="0"/>
      <w:jc w:val="center"/>
      <w:rPr>
        <w:color w:val="000000"/>
      </w:rPr>
    </w:pPr>
    <w:r w:rsidRPr="0022242E">
      <w:rPr>
        <w:color w:val="000000"/>
      </w:rPr>
      <w:fldChar w:fldCharType="begin"/>
    </w:r>
    <w:r w:rsidRPr="0022242E">
      <w:rPr>
        <w:color w:val="000000"/>
      </w:rPr>
      <w:instrText>PAGE</w:instrText>
    </w:r>
    <w:r w:rsidRPr="0022242E">
      <w:rPr>
        <w:color w:val="000000"/>
      </w:rPr>
      <w:fldChar w:fldCharType="separate"/>
    </w:r>
    <w:r w:rsidR="003C7E23">
      <w:rPr>
        <w:noProof/>
        <w:color w:val="000000"/>
      </w:rPr>
      <w:t>20</w:t>
    </w:r>
    <w:r w:rsidRPr="0022242E">
      <w:rPr>
        <w:color w:val="00000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1D733" w14:textId="77777777" w:rsidR="00CC481B" w:rsidRDefault="00CC481B">
    <w:pPr>
      <w:pBdr>
        <w:top w:val="nil"/>
        <w:left w:val="nil"/>
        <w:bottom w:val="nil"/>
        <w:right w:val="nil"/>
        <w:between w:val="nil"/>
      </w:pBdr>
      <w:tabs>
        <w:tab w:val="center" w:pos="4680"/>
        <w:tab w:val="right" w:pos="9360"/>
      </w:tabs>
      <w:spacing w:before="0"/>
      <w:jc w:val="right"/>
      <w:rPr>
        <w: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C6F1E"/>
    <w:multiLevelType w:val="multilevel"/>
    <w:tmpl w:val="27EE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B1BDF"/>
    <w:multiLevelType w:val="hybridMultilevel"/>
    <w:tmpl w:val="2488F396"/>
    <w:lvl w:ilvl="0" w:tplc="4244B1F0">
      <w:start w:val="1"/>
      <w:numFmt w:val="bullet"/>
      <w:suff w:val="space"/>
      <w:lvlText w:val="-"/>
      <w:lvlJc w:val="left"/>
      <w:pPr>
        <w:ind w:left="0" w:firstLine="567"/>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251305C"/>
    <w:multiLevelType w:val="hybridMultilevel"/>
    <w:tmpl w:val="21508402"/>
    <w:lvl w:ilvl="0" w:tplc="AE243A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59C0C4F"/>
    <w:multiLevelType w:val="multilevel"/>
    <w:tmpl w:val="C436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081FDE"/>
    <w:multiLevelType w:val="multilevel"/>
    <w:tmpl w:val="7AB0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C5150"/>
    <w:multiLevelType w:val="hybridMultilevel"/>
    <w:tmpl w:val="0B4A7E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C72A19"/>
    <w:multiLevelType w:val="hybridMultilevel"/>
    <w:tmpl w:val="5E96366A"/>
    <w:lvl w:ilvl="0" w:tplc="FAB490B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97E5542"/>
    <w:multiLevelType w:val="hybridMultilevel"/>
    <w:tmpl w:val="16F413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A830395"/>
    <w:multiLevelType w:val="hybridMultilevel"/>
    <w:tmpl w:val="D18204CA"/>
    <w:lvl w:ilvl="0" w:tplc="0A7C85C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3D2B67F9"/>
    <w:multiLevelType w:val="multilevel"/>
    <w:tmpl w:val="25EC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57446"/>
    <w:multiLevelType w:val="hybridMultilevel"/>
    <w:tmpl w:val="42B216CC"/>
    <w:lvl w:ilvl="0" w:tplc="017AF9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2074B51"/>
    <w:multiLevelType w:val="multilevel"/>
    <w:tmpl w:val="308A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42CDB"/>
    <w:multiLevelType w:val="hybridMultilevel"/>
    <w:tmpl w:val="07AA5F1E"/>
    <w:lvl w:ilvl="0" w:tplc="AE243A40">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73303"/>
    <w:multiLevelType w:val="multilevel"/>
    <w:tmpl w:val="55B0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B10C99"/>
    <w:multiLevelType w:val="hybridMultilevel"/>
    <w:tmpl w:val="CCF2047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F774ED9"/>
    <w:multiLevelType w:val="multilevel"/>
    <w:tmpl w:val="5920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F86F69"/>
    <w:multiLevelType w:val="hybridMultilevel"/>
    <w:tmpl w:val="951E26DC"/>
    <w:lvl w:ilvl="0" w:tplc="66F8AF46">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72917EA"/>
    <w:multiLevelType w:val="hybridMultilevel"/>
    <w:tmpl w:val="E684F81C"/>
    <w:lvl w:ilvl="0" w:tplc="D10665D4">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C2F433B"/>
    <w:multiLevelType w:val="multilevel"/>
    <w:tmpl w:val="DC12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F97F51"/>
    <w:multiLevelType w:val="hybridMultilevel"/>
    <w:tmpl w:val="34AABA46"/>
    <w:lvl w:ilvl="0" w:tplc="A09AE5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E246D7"/>
    <w:multiLevelType w:val="multilevel"/>
    <w:tmpl w:val="BCAA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0A3A91"/>
    <w:multiLevelType w:val="hybridMultilevel"/>
    <w:tmpl w:val="31B438A4"/>
    <w:lvl w:ilvl="0" w:tplc="C2327E5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74BA628D"/>
    <w:multiLevelType w:val="multilevel"/>
    <w:tmpl w:val="F920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BA7F74"/>
    <w:multiLevelType w:val="multilevel"/>
    <w:tmpl w:val="9F8EB85C"/>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
  </w:num>
  <w:num w:numId="3">
    <w:abstractNumId w:val="19"/>
  </w:num>
  <w:num w:numId="4">
    <w:abstractNumId w:val="1"/>
  </w:num>
  <w:num w:numId="5">
    <w:abstractNumId w:val="10"/>
  </w:num>
  <w:num w:numId="6">
    <w:abstractNumId w:val="21"/>
  </w:num>
  <w:num w:numId="7">
    <w:abstractNumId w:val="8"/>
  </w:num>
  <w:num w:numId="8">
    <w:abstractNumId w:val="14"/>
  </w:num>
  <w:num w:numId="9">
    <w:abstractNumId w:val="7"/>
  </w:num>
  <w:num w:numId="10">
    <w:abstractNumId w:val="5"/>
  </w:num>
  <w:num w:numId="11">
    <w:abstractNumId w:val="17"/>
  </w:num>
  <w:num w:numId="12">
    <w:abstractNumId w:val="6"/>
  </w:num>
  <w:num w:numId="13">
    <w:abstractNumId w:val="15"/>
  </w:num>
  <w:num w:numId="14">
    <w:abstractNumId w:val="13"/>
  </w:num>
  <w:num w:numId="15">
    <w:abstractNumId w:val="22"/>
  </w:num>
  <w:num w:numId="16">
    <w:abstractNumId w:val="0"/>
  </w:num>
  <w:num w:numId="17">
    <w:abstractNumId w:val="23"/>
  </w:num>
  <w:num w:numId="18">
    <w:abstractNumId w:val="4"/>
  </w:num>
  <w:num w:numId="19">
    <w:abstractNumId w:val="20"/>
  </w:num>
  <w:num w:numId="20">
    <w:abstractNumId w:val="9"/>
  </w:num>
  <w:num w:numId="21">
    <w:abstractNumId w:val="11"/>
  </w:num>
  <w:num w:numId="22">
    <w:abstractNumId w:val="18"/>
  </w:num>
  <w:num w:numId="23">
    <w:abstractNumId w:val="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AFE"/>
    <w:rsid w:val="00000DB2"/>
    <w:rsid w:val="0000115E"/>
    <w:rsid w:val="0000159E"/>
    <w:rsid w:val="00003AF6"/>
    <w:rsid w:val="00003CCD"/>
    <w:rsid w:val="00004670"/>
    <w:rsid w:val="00004A8B"/>
    <w:rsid w:val="00005277"/>
    <w:rsid w:val="00007000"/>
    <w:rsid w:val="0000732F"/>
    <w:rsid w:val="00007BC7"/>
    <w:rsid w:val="00011AF0"/>
    <w:rsid w:val="00012023"/>
    <w:rsid w:val="00013033"/>
    <w:rsid w:val="000153DC"/>
    <w:rsid w:val="00015A5D"/>
    <w:rsid w:val="00016189"/>
    <w:rsid w:val="000220FC"/>
    <w:rsid w:val="00023B22"/>
    <w:rsid w:val="00026C93"/>
    <w:rsid w:val="00034563"/>
    <w:rsid w:val="0003519E"/>
    <w:rsid w:val="000360A8"/>
    <w:rsid w:val="000376A7"/>
    <w:rsid w:val="00037FA4"/>
    <w:rsid w:val="00040709"/>
    <w:rsid w:val="000407B0"/>
    <w:rsid w:val="00041758"/>
    <w:rsid w:val="00042FD4"/>
    <w:rsid w:val="00045A6A"/>
    <w:rsid w:val="000507EA"/>
    <w:rsid w:val="00051EAC"/>
    <w:rsid w:val="00052653"/>
    <w:rsid w:val="00052722"/>
    <w:rsid w:val="000539E0"/>
    <w:rsid w:val="00053E32"/>
    <w:rsid w:val="00054B39"/>
    <w:rsid w:val="00054CD9"/>
    <w:rsid w:val="000570CC"/>
    <w:rsid w:val="000601BE"/>
    <w:rsid w:val="00063847"/>
    <w:rsid w:val="0006551C"/>
    <w:rsid w:val="000678E2"/>
    <w:rsid w:val="00071D14"/>
    <w:rsid w:val="00077243"/>
    <w:rsid w:val="000818C2"/>
    <w:rsid w:val="0008366D"/>
    <w:rsid w:val="00083671"/>
    <w:rsid w:val="00087B85"/>
    <w:rsid w:val="000904E1"/>
    <w:rsid w:val="00090D83"/>
    <w:rsid w:val="000919CB"/>
    <w:rsid w:val="000924AC"/>
    <w:rsid w:val="0009279D"/>
    <w:rsid w:val="000948D3"/>
    <w:rsid w:val="00094D56"/>
    <w:rsid w:val="000950D4"/>
    <w:rsid w:val="00096323"/>
    <w:rsid w:val="000A3F15"/>
    <w:rsid w:val="000B2F15"/>
    <w:rsid w:val="000B370D"/>
    <w:rsid w:val="000B38AC"/>
    <w:rsid w:val="000B3C87"/>
    <w:rsid w:val="000B437C"/>
    <w:rsid w:val="000C39E3"/>
    <w:rsid w:val="000C3B2E"/>
    <w:rsid w:val="000C3EE7"/>
    <w:rsid w:val="000C43E5"/>
    <w:rsid w:val="000D385A"/>
    <w:rsid w:val="000D6863"/>
    <w:rsid w:val="000D7600"/>
    <w:rsid w:val="000D7D5E"/>
    <w:rsid w:val="000E07DB"/>
    <w:rsid w:val="000E1C99"/>
    <w:rsid w:val="000E2235"/>
    <w:rsid w:val="000F06C3"/>
    <w:rsid w:val="000F0C50"/>
    <w:rsid w:val="000F17CF"/>
    <w:rsid w:val="000F3B77"/>
    <w:rsid w:val="000F3F07"/>
    <w:rsid w:val="000F402C"/>
    <w:rsid w:val="000F410A"/>
    <w:rsid w:val="000F53C0"/>
    <w:rsid w:val="000F757B"/>
    <w:rsid w:val="0010533A"/>
    <w:rsid w:val="001070BF"/>
    <w:rsid w:val="0011058B"/>
    <w:rsid w:val="00111A84"/>
    <w:rsid w:val="0011405A"/>
    <w:rsid w:val="00114152"/>
    <w:rsid w:val="00114495"/>
    <w:rsid w:val="0011470E"/>
    <w:rsid w:val="001162B2"/>
    <w:rsid w:val="00116370"/>
    <w:rsid w:val="00116BE2"/>
    <w:rsid w:val="0011742D"/>
    <w:rsid w:val="0011778C"/>
    <w:rsid w:val="00117F8E"/>
    <w:rsid w:val="001213E6"/>
    <w:rsid w:val="00122D1D"/>
    <w:rsid w:val="0012339C"/>
    <w:rsid w:val="00125B9E"/>
    <w:rsid w:val="00126561"/>
    <w:rsid w:val="001269B0"/>
    <w:rsid w:val="001314A3"/>
    <w:rsid w:val="00131A71"/>
    <w:rsid w:val="001343E6"/>
    <w:rsid w:val="00142B6A"/>
    <w:rsid w:val="00143DB3"/>
    <w:rsid w:val="00143EB5"/>
    <w:rsid w:val="00144870"/>
    <w:rsid w:val="00145D9F"/>
    <w:rsid w:val="00147D2D"/>
    <w:rsid w:val="00153D36"/>
    <w:rsid w:val="00153D59"/>
    <w:rsid w:val="00154BB1"/>
    <w:rsid w:val="00156AA6"/>
    <w:rsid w:val="00160123"/>
    <w:rsid w:val="00160DC1"/>
    <w:rsid w:val="0016375D"/>
    <w:rsid w:val="00163BA9"/>
    <w:rsid w:val="001659D2"/>
    <w:rsid w:val="0016769B"/>
    <w:rsid w:val="001706B6"/>
    <w:rsid w:val="00171095"/>
    <w:rsid w:val="00172609"/>
    <w:rsid w:val="00177B0D"/>
    <w:rsid w:val="0018031D"/>
    <w:rsid w:val="00180F40"/>
    <w:rsid w:val="00181E61"/>
    <w:rsid w:val="00184334"/>
    <w:rsid w:val="00185284"/>
    <w:rsid w:val="001918BD"/>
    <w:rsid w:val="00192459"/>
    <w:rsid w:val="0019430F"/>
    <w:rsid w:val="00196A41"/>
    <w:rsid w:val="001A122E"/>
    <w:rsid w:val="001A42DC"/>
    <w:rsid w:val="001B07A8"/>
    <w:rsid w:val="001C45D5"/>
    <w:rsid w:val="001C49DA"/>
    <w:rsid w:val="001C4D6D"/>
    <w:rsid w:val="001C5672"/>
    <w:rsid w:val="001C5A94"/>
    <w:rsid w:val="001C60D7"/>
    <w:rsid w:val="001D2A5D"/>
    <w:rsid w:val="001D44AE"/>
    <w:rsid w:val="001F16BE"/>
    <w:rsid w:val="001F249D"/>
    <w:rsid w:val="001F36C7"/>
    <w:rsid w:val="001F521D"/>
    <w:rsid w:val="00201914"/>
    <w:rsid w:val="002020F2"/>
    <w:rsid w:val="00204780"/>
    <w:rsid w:val="00204C37"/>
    <w:rsid w:val="002112BD"/>
    <w:rsid w:val="00213012"/>
    <w:rsid w:val="00213951"/>
    <w:rsid w:val="00215280"/>
    <w:rsid w:val="00221A8C"/>
    <w:rsid w:val="0022242E"/>
    <w:rsid w:val="0022526B"/>
    <w:rsid w:val="00226723"/>
    <w:rsid w:val="00226880"/>
    <w:rsid w:val="00227BE9"/>
    <w:rsid w:val="002333D2"/>
    <w:rsid w:val="002411B1"/>
    <w:rsid w:val="0024506C"/>
    <w:rsid w:val="00245726"/>
    <w:rsid w:val="002518B7"/>
    <w:rsid w:val="0025273B"/>
    <w:rsid w:val="00252E43"/>
    <w:rsid w:val="002531E9"/>
    <w:rsid w:val="0025421F"/>
    <w:rsid w:val="002544ED"/>
    <w:rsid w:val="0025608A"/>
    <w:rsid w:val="00256FDF"/>
    <w:rsid w:val="00257835"/>
    <w:rsid w:val="002617E0"/>
    <w:rsid w:val="00264415"/>
    <w:rsid w:val="002662D9"/>
    <w:rsid w:val="00266FF7"/>
    <w:rsid w:val="0026740A"/>
    <w:rsid w:val="002702CB"/>
    <w:rsid w:val="00273833"/>
    <w:rsid w:val="0027540C"/>
    <w:rsid w:val="00277E69"/>
    <w:rsid w:val="00277EFC"/>
    <w:rsid w:val="00284085"/>
    <w:rsid w:val="002850BF"/>
    <w:rsid w:val="00286A28"/>
    <w:rsid w:val="0028775C"/>
    <w:rsid w:val="00294A0B"/>
    <w:rsid w:val="002955AB"/>
    <w:rsid w:val="00296121"/>
    <w:rsid w:val="002A182D"/>
    <w:rsid w:val="002A1B02"/>
    <w:rsid w:val="002A1B59"/>
    <w:rsid w:val="002A322B"/>
    <w:rsid w:val="002A41F9"/>
    <w:rsid w:val="002A537C"/>
    <w:rsid w:val="002A6B8B"/>
    <w:rsid w:val="002B31D6"/>
    <w:rsid w:val="002B3ACC"/>
    <w:rsid w:val="002B4E6F"/>
    <w:rsid w:val="002B68E0"/>
    <w:rsid w:val="002B70D8"/>
    <w:rsid w:val="002C30F6"/>
    <w:rsid w:val="002C41E1"/>
    <w:rsid w:val="002D02D0"/>
    <w:rsid w:val="002D0DDE"/>
    <w:rsid w:val="002D24D1"/>
    <w:rsid w:val="002D3B66"/>
    <w:rsid w:val="002D6404"/>
    <w:rsid w:val="002E0C27"/>
    <w:rsid w:val="002E2C47"/>
    <w:rsid w:val="002E37B2"/>
    <w:rsid w:val="002E559C"/>
    <w:rsid w:val="002E593F"/>
    <w:rsid w:val="002E6F43"/>
    <w:rsid w:val="002F0B29"/>
    <w:rsid w:val="002F301F"/>
    <w:rsid w:val="002F38F0"/>
    <w:rsid w:val="002F57C8"/>
    <w:rsid w:val="002F775F"/>
    <w:rsid w:val="00300994"/>
    <w:rsid w:val="0030361E"/>
    <w:rsid w:val="003043E9"/>
    <w:rsid w:val="00316546"/>
    <w:rsid w:val="00317946"/>
    <w:rsid w:val="0032250C"/>
    <w:rsid w:val="0032604E"/>
    <w:rsid w:val="0033141A"/>
    <w:rsid w:val="003334D6"/>
    <w:rsid w:val="0033643C"/>
    <w:rsid w:val="00336BC5"/>
    <w:rsid w:val="00341E21"/>
    <w:rsid w:val="0034266A"/>
    <w:rsid w:val="00344006"/>
    <w:rsid w:val="00350387"/>
    <w:rsid w:val="003537F9"/>
    <w:rsid w:val="003543DD"/>
    <w:rsid w:val="00355585"/>
    <w:rsid w:val="00355DEC"/>
    <w:rsid w:val="00360D66"/>
    <w:rsid w:val="003642DA"/>
    <w:rsid w:val="00370055"/>
    <w:rsid w:val="00370510"/>
    <w:rsid w:val="00382438"/>
    <w:rsid w:val="00383DAA"/>
    <w:rsid w:val="003840D6"/>
    <w:rsid w:val="00385573"/>
    <w:rsid w:val="003900A3"/>
    <w:rsid w:val="00390124"/>
    <w:rsid w:val="00391EF5"/>
    <w:rsid w:val="0039326D"/>
    <w:rsid w:val="00396A48"/>
    <w:rsid w:val="003A002A"/>
    <w:rsid w:val="003A13D0"/>
    <w:rsid w:val="003A167D"/>
    <w:rsid w:val="003A359E"/>
    <w:rsid w:val="003A3737"/>
    <w:rsid w:val="003A4E00"/>
    <w:rsid w:val="003A631E"/>
    <w:rsid w:val="003A71F0"/>
    <w:rsid w:val="003B308D"/>
    <w:rsid w:val="003B5437"/>
    <w:rsid w:val="003C24F3"/>
    <w:rsid w:val="003C2D90"/>
    <w:rsid w:val="003C2FED"/>
    <w:rsid w:val="003C365A"/>
    <w:rsid w:val="003C582F"/>
    <w:rsid w:val="003C5A2D"/>
    <w:rsid w:val="003C6323"/>
    <w:rsid w:val="003C7E23"/>
    <w:rsid w:val="003E3BE0"/>
    <w:rsid w:val="003E4219"/>
    <w:rsid w:val="003E449C"/>
    <w:rsid w:val="003E4578"/>
    <w:rsid w:val="003E6341"/>
    <w:rsid w:val="003F00EB"/>
    <w:rsid w:val="003F0678"/>
    <w:rsid w:val="003F2D15"/>
    <w:rsid w:val="003F4D33"/>
    <w:rsid w:val="003F6E4C"/>
    <w:rsid w:val="0040033A"/>
    <w:rsid w:val="004016E9"/>
    <w:rsid w:val="004017A8"/>
    <w:rsid w:val="00402A92"/>
    <w:rsid w:val="0041099A"/>
    <w:rsid w:val="00413B35"/>
    <w:rsid w:val="00414D11"/>
    <w:rsid w:val="00414E23"/>
    <w:rsid w:val="00416F58"/>
    <w:rsid w:val="00424316"/>
    <w:rsid w:val="0042486C"/>
    <w:rsid w:val="004311F0"/>
    <w:rsid w:val="00431895"/>
    <w:rsid w:val="00434AEF"/>
    <w:rsid w:val="00434F15"/>
    <w:rsid w:val="004371AA"/>
    <w:rsid w:val="0044086B"/>
    <w:rsid w:val="0044401A"/>
    <w:rsid w:val="00450CB2"/>
    <w:rsid w:val="004513BC"/>
    <w:rsid w:val="00452620"/>
    <w:rsid w:val="004538BB"/>
    <w:rsid w:val="00453E33"/>
    <w:rsid w:val="00454B7B"/>
    <w:rsid w:val="004570D1"/>
    <w:rsid w:val="00463E28"/>
    <w:rsid w:val="00464CF9"/>
    <w:rsid w:val="00467B2D"/>
    <w:rsid w:val="00470805"/>
    <w:rsid w:val="00473A92"/>
    <w:rsid w:val="00475A86"/>
    <w:rsid w:val="00476EB2"/>
    <w:rsid w:val="00481039"/>
    <w:rsid w:val="00481B5D"/>
    <w:rsid w:val="00484465"/>
    <w:rsid w:val="00485503"/>
    <w:rsid w:val="00487F28"/>
    <w:rsid w:val="0049057E"/>
    <w:rsid w:val="00491B94"/>
    <w:rsid w:val="00493B54"/>
    <w:rsid w:val="0049652E"/>
    <w:rsid w:val="00497333"/>
    <w:rsid w:val="004A3985"/>
    <w:rsid w:val="004A621E"/>
    <w:rsid w:val="004A782E"/>
    <w:rsid w:val="004B1AA1"/>
    <w:rsid w:val="004B2175"/>
    <w:rsid w:val="004B3AB1"/>
    <w:rsid w:val="004C2D63"/>
    <w:rsid w:val="004C5CD8"/>
    <w:rsid w:val="004C5DA0"/>
    <w:rsid w:val="004C6601"/>
    <w:rsid w:val="004D36C2"/>
    <w:rsid w:val="004D379F"/>
    <w:rsid w:val="004D39CF"/>
    <w:rsid w:val="004D4139"/>
    <w:rsid w:val="004D4C6C"/>
    <w:rsid w:val="004D650C"/>
    <w:rsid w:val="004D6B39"/>
    <w:rsid w:val="004D6D1B"/>
    <w:rsid w:val="004E126C"/>
    <w:rsid w:val="004E4174"/>
    <w:rsid w:val="004E5DBD"/>
    <w:rsid w:val="004E6739"/>
    <w:rsid w:val="004F59A3"/>
    <w:rsid w:val="00500870"/>
    <w:rsid w:val="00501702"/>
    <w:rsid w:val="005019B4"/>
    <w:rsid w:val="00502125"/>
    <w:rsid w:val="0050540A"/>
    <w:rsid w:val="00506B34"/>
    <w:rsid w:val="00506C52"/>
    <w:rsid w:val="00506E51"/>
    <w:rsid w:val="00511243"/>
    <w:rsid w:val="005150E2"/>
    <w:rsid w:val="00515F50"/>
    <w:rsid w:val="005172D4"/>
    <w:rsid w:val="00520044"/>
    <w:rsid w:val="00525655"/>
    <w:rsid w:val="005257EE"/>
    <w:rsid w:val="00527768"/>
    <w:rsid w:val="00531E4D"/>
    <w:rsid w:val="005357C4"/>
    <w:rsid w:val="00536B76"/>
    <w:rsid w:val="005424DD"/>
    <w:rsid w:val="005430CD"/>
    <w:rsid w:val="00543456"/>
    <w:rsid w:val="00545CA0"/>
    <w:rsid w:val="00547DA2"/>
    <w:rsid w:val="005505A8"/>
    <w:rsid w:val="00550856"/>
    <w:rsid w:val="00551ACA"/>
    <w:rsid w:val="005538EE"/>
    <w:rsid w:val="00561E91"/>
    <w:rsid w:val="00564DCA"/>
    <w:rsid w:val="00564E8C"/>
    <w:rsid w:val="00565490"/>
    <w:rsid w:val="00565726"/>
    <w:rsid w:val="005664F2"/>
    <w:rsid w:val="00570BA9"/>
    <w:rsid w:val="005769B7"/>
    <w:rsid w:val="00582D86"/>
    <w:rsid w:val="005834BA"/>
    <w:rsid w:val="00585200"/>
    <w:rsid w:val="00587ED9"/>
    <w:rsid w:val="005941A9"/>
    <w:rsid w:val="00596D64"/>
    <w:rsid w:val="00597608"/>
    <w:rsid w:val="005A41FE"/>
    <w:rsid w:val="005A6565"/>
    <w:rsid w:val="005B3981"/>
    <w:rsid w:val="005D1C8A"/>
    <w:rsid w:val="005D2B72"/>
    <w:rsid w:val="005D3B54"/>
    <w:rsid w:val="005E0424"/>
    <w:rsid w:val="005E5700"/>
    <w:rsid w:val="005E673A"/>
    <w:rsid w:val="005E6E4D"/>
    <w:rsid w:val="005F2A47"/>
    <w:rsid w:val="005F320E"/>
    <w:rsid w:val="005F5848"/>
    <w:rsid w:val="005F59B1"/>
    <w:rsid w:val="005F5A25"/>
    <w:rsid w:val="00604D10"/>
    <w:rsid w:val="006133F0"/>
    <w:rsid w:val="00615D66"/>
    <w:rsid w:val="00616CCA"/>
    <w:rsid w:val="0062072C"/>
    <w:rsid w:val="00620D5C"/>
    <w:rsid w:val="006211D1"/>
    <w:rsid w:val="00621456"/>
    <w:rsid w:val="00625041"/>
    <w:rsid w:val="006265AB"/>
    <w:rsid w:val="006314FC"/>
    <w:rsid w:val="00651700"/>
    <w:rsid w:val="0065772F"/>
    <w:rsid w:val="00663566"/>
    <w:rsid w:val="00666019"/>
    <w:rsid w:val="00667D77"/>
    <w:rsid w:val="006814EA"/>
    <w:rsid w:val="00683E86"/>
    <w:rsid w:val="006846B0"/>
    <w:rsid w:val="006954F4"/>
    <w:rsid w:val="006A0945"/>
    <w:rsid w:val="006A281E"/>
    <w:rsid w:val="006A2CEE"/>
    <w:rsid w:val="006A3369"/>
    <w:rsid w:val="006A39D6"/>
    <w:rsid w:val="006A4CCD"/>
    <w:rsid w:val="006B0C4F"/>
    <w:rsid w:val="006B29F9"/>
    <w:rsid w:val="006B36AE"/>
    <w:rsid w:val="006B520D"/>
    <w:rsid w:val="006C0187"/>
    <w:rsid w:val="006C18D9"/>
    <w:rsid w:val="006C24A0"/>
    <w:rsid w:val="006C2654"/>
    <w:rsid w:val="006C4E7A"/>
    <w:rsid w:val="006C55B2"/>
    <w:rsid w:val="006D46FA"/>
    <w:rsid w:val="006D4919"/>
    <w:rsid w:val="006D5720"/>
    <w:rsid w:val="006D68BA"/>
    <w:rsid w:val="006D6A4A"/>
    <w:rsid w:val="006E0195"/>
    <w:rsid w:val="006E1019"/>
    <w:rsid w:val="006E419A"/>
    <w:rsid w:val="006E55E0"/>
    <w:rsid w:val="006E65D3"/>
    <w:rsid w:val="006F392C"/>
    <w:rsid w:val="006F4744"/>
    <w:rsid w:val="006F503B"/>
    <w:rsid w:val="006F6619"/>
    <w:rsid w:val="006F6E34"/>
    <w:rsid w:val="007000DF"/>
    <w:rsid w:val="00702B4D"/>
    <w:rsid w:val="00704489"/>
    <w:rsid w:val="007060C6"/>
    <w:rsid w:val="007061B1"/>
    <w:rsid w:val="007116E0"/>
    <w:rsid w:val="00712730"/>
    <w:rsid w:val="00712B05"/>
    <w:rsid w:val="007138D8"/>
    <w:rsid w:val="007154C7"/>
    <w:rsid w:val="00715CD6"/>
    <w:rsid w:val="00722290"/>
    <w:rsid w:val="00722D8B"/>
    <w:rsid w:val="00723373"/>
    <w:rsid w:val="00723DC0"/>
    <w:rsid w:val="0074116B"/>
    <w:rsid w:val="007411E5"/>
    <w:rsid w:val="00750698"/>
    <w:rsid w:val="007558BF"/>
    <w:rsid w:val="0077456C"/>
    <w:rsid w:val="007825C4"/>
    <w:rsid w:val="00783099"/>
    <w:rsid w:val="0078640A"/>
    <w:rsid w:val="007921E1"/>
    <w:rsid w:val="00792738"/>
    <w:rsid w:val="00794FF6"/>
    <w:rsid w:val="00795A31"/>
    <w:rsid w:val="007A0A61"/>
    <w:rsid w:val="007A374F"/>
    <w:rsid w:val="007A3763"/>
    <w:rsid w:val="007A397B"/>
    <w:rsid w:val="007B2D32"/>
    <w:rsid w:val="007B308A"/>
    <w:rsid w:val="007B3AB8"/>
    <w:rsid w:val="007B5D60"/>
    <w:rsid w:val="007C0EF7"/>
    <w:rsid w:val="007C2723"/>
    <w:rsid w:val="007C3E4C"/>
    <w:rsid w:val="007C76C7"/>
    <w:rsid w:val="007D0412"/>
    <w:rsid w:val="007D16AF"/>
    <w:rsid w:val="007D77E2"/>
    <w:rsid w:val="007E0563"/>
    <w:rsid w:val="007E642F"/>
    <w:rsid w:val="007E7E6B"/>
    <w:rsid w:val="007F56CC"/>
    <w:rsid w:val="00800CE3"/>
    <w:rsid w:val="008016BF"/>
    <w:rsid w:val="0080786C"/>
    <w:rsid w:val="00810C1B"/>
    <w:rsid w:val="0081104F"/>
    <w:rsid w:val="00815187"/>
    <w:rsid w:val="00815943"/>
    <w:rsid w:val="00816A2B"/>
    <w:rsid w:val="00816A83"/>
    <w:rsid w:val="00817E92"/>
    <w:rsid w:val="00820724"/>
    <w:rsid w:val="00823804"/>
    <w:rsid w:val="0082526F"/>
    <w:rsid w:val="00825F22"/>
    <w:rsid w:val="00827418"/>
    <w:rsid w:val="00827B57"/>
    <w:rsid w:val="008329E8"/>
    <w:rsid w:val="00832C82"/>
    <w:rsid w:val="0083454B"/>
    <w:rsid w:val="00836634"/>
    <w:rsid w:val="00841A33"/>
    <w:rsid w:val="00842361"/>
    <w:rsid w:val="008447BE"/>
    <w:rsid w:val="00844820"/>
    <w:rsid w:val="00845ACA"/>
    <w:rsid w:val="0085463F"/>
    <w:rsid w:val="00857BA1"/>
    <w:rsid w:val="00857F5F"/>
    <w:rsid w:val="00862752"/>
    <w:rsid w:val="00863D09"/>
    <w:rsid w:val="008676F2"/>
    <w:rsid w:val="00870F57"/>
    <w:rsid w:val="008759AF"/>
    <w:rsid w:val="00877605"/>
    <w:rsid w:val="00880F18"/>
    <w:rsid w:val="0088229C"/>
    <w:rsid w:val="00883D65"/>
    <w:rsid w:val="0088482B"/>
    <w:rsid w:val="008964F1"/>
    <w:rsid w:val="008A122F"/>
    <w:rsid w:val="008A1A98"/>
    <w:rsid w:val="008A41FF"/>
    <w:rsid w:val="008A49E5"/>
    <w:rsid w:val="008A4DF4"/>
    <w:rsid w:val="008A5B72"/>
    <w:rsid w:val="008A70DC"/>
    <w:rsid w:val="008B22EA"/>
    <w:rsid w:val="008B2BD3"/>
    <w:rsid w:val="008B5DBC"/>
    <w:rsid w:val="008C1544"/>
    <w:rsid w:val="008C168C"/>
    <w:rsid w:val="008C4143"/>
    <w:rsid w:val="008C6128"/>
    <w:rsid w:val="008C686C"/>
    <w:rsid w:val="008D1760"/>
    <w:rsid w:val="008D1ADB"/>
    <w:rsid w:val="008D1AE9"/>
    <w:rsid w:val="008D1CC2"/>
    <w:rsid w:val="008D4332"/>
    <w:rsid w:val="008E02F7"/>
    <w:rsid w:val="008E7DBD"/>
    <w:rsid w:val="00902C1D"/>
    <w:rsid w:val="00907883"/>
    <w:rsid w:val="00912B8B"/>
    <w:rsid w:val="00915219"/>
    <w:rsid w:val="00922506"/>
    <w:rsid w:val="00926158"/>
    <w:rsid w:val="00933860"/>
    <w:rsid w:val="00935925"/>
    <w:rsid w:val="0093629F"/>
    <w:rsid w:val="009417D4"/>
    <w:rsid w:val="00944AFE"/>
    <w:rsid w:val="00946B53"/>
    <w:rsid w:val="00947D8E"/>
    <w:rsid w:val="00950913"/>
    <w:rsid w:val="00950F44"/>
    <w:rsid w:val="00953002"/>
    <w:rsid w:val="00953140"/>
    <w:rsid w:val="00954BBB"/>
    <w:rsid w:val="00956135"/>
    <w:rsid w:val="00956AE9"/>
    <w:rsid w:val="0095789E"/>
    <w:rsid w:val="00965EA2"/>
    <w:rsid w:val="00970D54"/>
    <w:rsid w:val="00973D14"/>
    <w:rsid w:val="00973EB5"/>
    <w:rsid w:val="00974993"/>
    <w:rsid w:val="00975907"/>
    <w:rsid w:val="009775E6"/>
    <w:rsid w:val="00980BDC"/>
    <w:rsid w:val="00980FA0"/>
    <w:rsid w:val="009841C8"/>
    <w:rsid w:val="009900F4"/>
    <w:rsid w:val="009916D4"/>
    <w:rsid w:val="00991C69"/>
    <w:rsid w:val="00992065"/>
    <w:rsid w:val="00992120"/>
    <w:rsid w:val="00992E79"/>
    <w:rsid w:val="009951B4"/>
    <w:rsid w:val="0099624E"/>
    <w:rsid w:val="009A0E8F"/>
    <w:rsid w:val="009A1277"/>
    <w:rsid w:val="009A385D"/>
    <w:rsid w:val="009A3B48"/>
    <w:rsid w:val="009A3EC2"/>
    <w:rsid w:val="009B193C"/>
    <w:rsid w:val="009B377D"/>
    <w:rsid w:val="009B3EA5"/>
    <w:rsid w:val="009B631A"/>
    <w:rsid w:val="009B79DA"/>
    <w:rsid w:val="009B7D85"/>
    <w:rsid w:val="009C0EFF"/>
    <w:rsid w:val="009C674B"/>
    <w:rsid w:val="009C6D1C"/>
    <w:rsid w:val="009C708C"/>
    <w:rsid w:val="009C7971"/>
    <w:rsid w:val="009C7FBE"/>
    <w:rsid w:val="009D2F92"/>
    <w:rsid w:val="009D66B2"/>
    <w:rsid w:val="009D75FB"/>
    <w:rsid w:val="009D773C"/>
    <w:rsid w:val="009E0F0D"/>
    <w:rsid w:val="009E3838"/>
    <w:rsid w:val="009E4807"/>
    <w:rsid w:val="009F1696"/>
    <w:rsid w:val="009F394E"/>
    <w:rsid w:val="009F5C3E"/>
    <w:rsid w:val="009F5DF2"/>
    <w:rsid w:val="00A014F6"/>
    <w:rsid w:val="00A03715"/>
    <w:rsid w:val="00A0432F"/>
    <w:rsid w:val="00A10460"/>
    <w:rsid w:val="00A1057D"/>
    <w:rsid w:val="00A10BE3"/>
    <w:rsid w:val="00A11318"/>
    <w:rsid w:val="00A21658"/>
    <w:rsid w:val="00A238FF"/>
    <w:rsid w:val="00A270BB"/>
    <w:rsid w:val="00A32930"/>
    <w:rsid w:val="00A330B5"/>
    <w:rsid w:val="00A360AA"/>
    <w:rsid w:val="00A418E8"/>
    <w:rsid w:val="00A42AC1"/>
    <w:rsid w:val="00A4373E"/>
    <w:rsid w:val="00A44CAA"/>
    <w:rsid w:val="00A45126"/>
    <w:rsid w:val="00A518F3"/>
    <w:rsid w:val="00A54548"/>
    <w:rsid w:val="00A55E02"/>
    <w:rsid w:val="00A60F0E"/>
    <w:rsid w:val="00A62E30"/>
    <w:rsid w:val="00A64DDD"/>
    <w:rsid w:val="00A72737"/>
    <w:rsid w:val="00A75DBC"/>
    <w:rsid w:val="00A806C0"/>
    <w:rsid w:val="00A83B70"/>
    <w:rsid w:val="00A85154"/>
    <w:rsid w:val="00A8648B"/>
    <w:rsid w:val="00A864F3"/>
    <w:rsid w:val="00A86B5B"/>
    <w:rsid w:val="00A87254"/>
    <w:rsid w:val="00A96C30"/>
    <w:rsid w:val="00AA03B4"/>
    <w:rsid w:val="00AA06FE"/>
    <w:rsid w:val="00AA3A96"/>
    <w:rsid w:val="00AA4C33"/>
    <w:rsid w:val="00AA6DE6"/>
    <w:rsid w:val="00AB0212"/>
    <w:rsid w:val="00AB436B"/>
    <w:rsid w:val="00AB530D"/>
    <w:rsid w:val="00AB6B8F"/>
    <w:rsid w:val="00AC2132"/>
    <w:rsid w:val="00AC3D1F"/>
    <w:rsid w:val="00AD13E5"/>
    <w:rsid w:val="00AD167C"/>
    <w:rsid w:val="00AD39BE"/>
    <w:rsid w:val="00AD3E8A"/>
    <w:rsid w:val="00AD7AC5"/>
    <w:rsid w:val="00AE1CF2"/>
    <w:rsid w:val="00AE3EA4"/>
    <w:rsid w:val="00AE52ED"/>
    <w:rsid w:val="00AE698D"/>
    <w:rsid w:val="00AF0039"/>
    <w:rsid w:val="00AF0E84"/>
    <w:rsid w:val="00AF15B8"/>
    <w:rsid w:val="00AF29F7"/>
    <w:rsid w:val="00AF756E"/>
    <w:rsid w:val="00AF79F2"/>
    <w:rsid w:val="00AF7A56"/>
    <w:rsid w:val="00B01F88"/>
    <w:rsid w:val="00B03998"/>
    <w:rsid w:val="00B05683"/>
    <w:rsid w:val="00B110DF"/>
    <w:rsid w:val="00B17C90"/>
    <w:rsid w:val="00B20706"/>
    <w:rsid w:val="00B229D7"/>
    <w:rsid w:val="00B22AF7"/>
    <w:rsid w:val="00B23FA3"/>
    <w:rsid w:val="00B258AF"/>
    <w:rsid w:val="00B27C5C"/>
    <w:rsid w:val="00B30A4B"/>
    <w:rsid w:val="00B3554A"/>
    <w:rsid w:val="00B3599B"/>
    <w:rsid w:val="00B37396"/>
    <w:rsid w:val="00B50CF0"/>
    <w:rsid w:val="00B52F2F"/>
    <w:rsid w:val="00B548F2"/>
    <w:rsid w:val="00B55DEE"/>
    <w:rsid w:val="00B56717"/>
    <w:rsid w:val="00B569E8"/>
    <w:rsid w:val="00B604B4"/>
    <w:rsid w:val="00B60603"/>
    <w:rsid w:val="00B62F90"/>
    <w:rsid w:val="00B66528"/>
    <w:rsid w:val="00B70281"/>
    <w:rsid w:val="00B71282"/>
    <w:rsid w:val="00B723B4"/>
    <w:rsid w:val="00B74BBC"/>
    <w:rsid w:val="00B757A9"/>
    <w:rsid w:val="00B76E4D"/>
    <w:rsid w:val="00B80906"/>
    <w:rsid w:val="00B81317"/>
    <w:rsid w:val="00B819A2"/>
    <w:rsid w:val="00B8424E"/>
    <w:rsid w:val="00B849C0"/>
    <w:rsid w:val="00B8716F"/>
    <w:rsid w:val="00B87C21"/>
    <w:rsid w:val="00B91CA2"/>
    <w:rsid w:val="00B92495"/>
    <w:rsid w:val="00BA234F"/>
    <w:rsid w:val="00BA6B9B"/>
    <w:rsid w:val="00BB1498"/>
    <w:rsid w:val="00BB1DDC"/>
    <w:rsid w:val="00BB4970"/>
    <w:rsid w:val="00BB52BB"/>
    <w:rsid w:val="00BB7468"/>
    <w:rsid w:val="00BC4AF2"/>
    <w:rsid w:val="00BC5251"/>
    <w:rsid w:val="00BC7312"/>
    <w:rsid w:val="00BC7D80"/>
    <w:rsid w:val="00BD12D2"/>
    <w:rsid w:val="00BD2860"/>
    <w:rsid w:val="00BD4686"/>
    <w:rsid w:val="00BE1F59"/>
    <w:rsid w:val="00BE1F6D"/>
    <w:rsid w:val="00BE3BB2"/>
    <w:rsid w:val="00BE6A78"/>
    <w:rsid w:val="00BF0ABA"/>
    <w:rsid w:val="00BF2FF8"/>
    <w:rsid w:val="00BF3EF1"/>
    <w:rsid w:val="00C01C8F"/>
    <w:rsid w:val="00C136AF"/>
    <w:rsid w:val="00C17937"/>
    <w:rsid w:val="00C307FF"/>
    <w:rsid w:val="00C329B3"/>
    <w:rsid w:val="00C329DA"/>
    <w:rsid w:val="00C33E6D"/>
    <w:rsid w:val="00C34A92"/>
    <w:rsid w:val="00C34FDD"/>
    <w:rsid w:val="00C40203"/>
    <w:rsid w:val="00C43F85"/>
    <w:rsid w:val="00C44320"/>
    <w:rsid w:val="00C45A88"/>
    <w:rsid w:val="00C4724C"/>
    <w:rsid w:val="00C518EC"/>
    <w:rsid w:val="00C601A7"/>
    <w:rsid w:val="00C6156A"/>
    <w:rsid w:val="00C631B8"/>
    <w:rsid w:val="00C637CA"/>
    <w:rsid w:val="00C64D91"/>
    <w:rsid w:val="00C734F6"/>
    <w:rsid w:val="00C75CC3"/>
    <w:rsid w:val="00C8707F"/>
    <w:rsid w:val="00C900D8"/>
    <w:rsid w:val="00C92BC7"/>
    <w:rsid w:val="00C9575D"/>
    <w:rsid w:val="00CA1623"/>
    <w:rsid w:val="00CA2BDC"/>
    <w:rsid w:val="00CA350E"/>
    <w:rsid w:val="00CA7092"/>
    <w:rsid w:val="00CB2572"/>
    <w:rsid w:val="00CB6F90"/>
    <w:rsid w:val="00CB73A2"/>
    <w:rsid w:val="00CC19BF"/>
    <w:rsid w:val="00CC24B6"/>
    <w:rsid w:val="00CC46C6"/>
    <w:rsid w:val="00CC481B"/>
    <w:rsid w:val="00CC6E3F"/>
    <w:rsid w:val="00CD009C"/>
    <w:rsid w:val="00CD10C5"/>
    <w:rsid w:val="00CE3486"/>
    <w:rsid w:val="00CE7427"/>
    <w:rsid w:val="00CE7A57"/>
    <w:rsid w:val="00CF1768"/>
    <w:rsid w:val="00CF375E"/>
    <w:rsid w:val="00CF3F61"/>
    <w:rsid w:val="00CF43B1"/>
    <w:rsid w:val="00CF79C5"/>
    <w:rsid w:val="00D00077"/>
    <w:rsid w:val="00D014A2"/>
    <w:rsid w:val="00D019EE"/>
    <w:rsid w:val="00D06FA8"/>
    <w:rsid w:val="00D116B1"/>
    <w:rsid w:val="00D12733"/>
    <w:rsid w:val="00D1452D"/>
    <w:rsid w:val="00D14F50"/>
    <w:rsid w:val="00D15175"/>
    <w:rsid w:val="00D159EF"/>
    <w:rsid w:val="00D17942"/>
    <w:rsid w:val="00D17AFF"/>
    <w:rsid w:val="00D20A98"/>
    <w:rsid w:val="00D24584"/>
    <w:rsid w:val="00D30008"/>
    <w:rsid w:val="00D30B54"/>
    <w:rsid w:val="00D322BC"/>
    <w:rsid w:val="00D33257"/>
    <w:rsid w:val="00D341CC"/>
    <w:rsid w:val="00D37718"/>
    <w:rsid w:val="00D37A1E"/>
    <w:rsid w:val="00D4392A"/>
    <w:rsid w:val="00D513A4"/>
    <w:rsid w:val="00D53C43"/>
    <w:rsid w:val="00D57931"/>
    <w:rsid w:val="00D60144"/>
    <w:rsid w:val="00D6098C"/>
    <w:rsid w:val="00D611A8"/>
    <w:rsid w:val="00D631A4"/>
    <w:rsid w:val="00D66C6C"/>
    <w:rsid w:val="00D72641"/>
    <w:rsid w:val="00D75D5F"/>
    <w:rsid w:val="00D75F7C"/>
    <w:rsid w:val="00D8011D"/>
    <w:rsid w:val="00D82E0A"/>
    <w:rsid w:val="00D82F93"/>
    <w:rsid w:val="00D8381F"/>
    <w:rsid w:val="00D874F3"/>
    <w:rsid w:val="00D87CBA"/>
    <w:rsid w:val="00D904B1"/>
    <w:rsid w:val="00D92094"/>
    <w:rsid w:val="00D921AF"/>
    <w:rsid w:val="00D971BF"/>
    <w:rsid w:val="00DA2769"/>
    <w:rsid w:val="00DA4474"/>
    <w:rsid w:val="00DB0647"/>
    <w:rsid w:val="00DB065F"/>
    <w:rsid w:val="00DB0943"/>
    <w:rsid w:val="00DB391A"/>
    <w:rsid w:val="00DB40C1"/>
    <w:rsid w:val="00DB6D27"/>
    <w:rsid w:val="00DC1EE6"/>
    <w:rsid w:val="00DC205E"/>
    <w:rsid w:val="00DC22F0"/>
    <w:rsid w:val="00DC3273"/>
    <w:rsid w:val="00DC414E"/>
    <w:rsid w:val="00DC4C85"/>
    <w:rsid w:val="00DC4DB5"/>
    <w:rsid w:val="00DC79FC"/>
    <w:rsid w:val="00DD252F"/>
    <w:rsid w:val="00DD4073"/>
    <w:rsid w:val="00DD4B8D"/>
    <w:rsid w:val="00DD550A"/>
    <w:rsid w:val="00DD57A7"/>
    <w:rsid w:val="00DD62F3"/>
    <w:rsid w:val="00DD6AF8"/>
    <w:rsid w:val="00DD7128"/>
    <w:rsid w:val="00DE42C9"/>
    <w:rsid w:val="00DE465B"/>
    <w:rsid w:val="00DE4CDF"/>
    <w:rsid w:val="00DF0303"/>
    <w:rsid w:val="00DF11FB"/>
    <w:rsid w:val="00DF29FB"/>
    <w:rsid w:val="00DF33BE"/>
    <w:rsid w:val="00DF61DF"/>
    <w:rsid w:val="00E0044D"/>
    <w:rsid w:val="00E04020"/>
    <w:rsid w:val="00E04026"/>
    <w:rsid w:val="00E065DA"/>
    <w:rsid w:val="00E14A46"/>
    <w:rsid w:val="00E15E55"/>
    <w:rsid w:val="00E15ECD"/>
    <w:rsid w:val="00E16309"/>
    <w:rsid w:val="00E17203"/>
    <w:rsid w:val="00E22CF5"/>
    <w:rsid w:val="00E25CF4"/>
    <w:rsid w:val="00E268E3"/>
    <w:rsid w:val="00E27AD0"/>
    <w:rsid w:val="00E308EC"/>
    <w:rsid w:val="00E31386"/>
    <w:rsid w:val="00E32C14"/>
    <w:rsid w:val="00E35562"/>
    <w:rsid w:val="00E41022"/>
    <w:rsid w:val="00E41762"/>
    <w:rsid w:val="00E45E0D"/>
    <w:rsid w:val="00E45F39"/>
    <w:rsid w:val="00E50334"/>
    <w:rsid w:val="00E5042D"/>
    <w:rsid w:val="00E51B9C"/>
    <w:rsid w:val="00E53449"/>
    <w:rsid w:val="00E55C1C"/>
    <w:rsid w:val="00E56475"/>
    <w:rsid w:val="00E60923"/>
    <w:rsid w:val="00E6112D"/>
    <w:rsid w:val="00E6268C"/>
    <w:rsid w:val="00E64D77"/>
    <w:rsid w:val="00E65B7B"/>
    <w:rsid w:val="00E66D43"/>
    <w:rsid w:val="00E671CD"/>
    <w:rsid w:val="00E713AE"/>
    <w:rsid w:val="00E76783"/>
    <w:rsid w:val="00E76C82"/>
    <w:rsid w:val="00E81CDF"/>
    <w:rsid w:val="00E831FE"/>
    <w:rsid w:val="00E8479B"/>
    <w:rsid w:val="00E84A89"/>
    <w:rsid w:val="00E90A7B"/>
    <w:rsid w:val="00E92D65"/>
    <w:rsid w:val="00E9472F"/>
    <w:rsid w:val="00E96AF3"/>
    <w:rsid w:val="00E97F24"/>
    <w:rsid w:val="00EA0F9C"/>
    <w:rsid w:val="00EA42C8"/>
    <w:rsid w:val="00EA7B52"/>
    <w:rsid w:val="00EB0AA8"/>
    <w:rsid w:val="00EB4007"/>
    <w:rsid w:val="00EB546C"/>
    <w:rsid w:val="00EB6BF2"/>
    <w:rsid w:val="00EB6D59"/>
    <w:rsid w:val="00EB76F8"/>
    <w:rsid w:val="00EC0A91"/>
    <w:rsid w:val="00EC0F79"/>
    <w:rsid w:val="00EC148A"/>
    <w:rsid w:val="00EC6979"/>
    <w:rsid w:val="00EC7105"/>
    <w:rsid w:val="00ED3786"/>
    <w:rsid w:val="00ED749B"/>
    <w:rsid w:val="00EE2033"/>
    <w:rsid w:val="00EE27BC"/>
    <w:rsid w:val="00EE2D5B"/>
    <w:rsid w:val="00EE3E6A"/>
    <w:rsid w:val="00EE47D8"/>
    <w:rsid w:val="00EE50CE"/>
    <w:rsid w:val="00EE7280"/>
    <w:rsid w:val="00EF2A4F"/>
    <w:rsid w:val="00EF4A87"/>
    <w:rsid w:val="00F0220A"/>
    <w:rsid w:val="00F02A2C"/>
    <w:rsid w:val="00F03861"/>
    <w:rsid w:val="00F04430"/>
    <w:rsid w:val="00F06371"/>
    <w:rsid w:val="00F11BB0"/>
    <w:rsid w:val="00F14B06"/>
    <w:rsid w:val="00F1689C"/>
    <w:rsid w:val="00F2084A"/>
    <w:rsid w:val="00F22165"/>
    <w:rsid w:val="00F22D7F"/>
    <w:rsid w:val="00F22F04"/>
    <w:rsid w:val="00F23199"/>
    <w:rsid w:val="00F24481"/>
    <w:rsid w:val="00F26B98"/>
    <w:rsid w:val="00F2731F"/>
    <w:rsid w:val="00F31198"/>
    <w:rsid w:val="00F340F0"/>
    <w:rsid w:val="00F3411C"/>
    <w:rsid w:val="00F40E4B"/>
    <w:rsid w:val="00F46061"/>
    <w:rsid w:val="00F46FA8"/>
    <w:rsid w:val="00F510B7"/>
    <w:rsid w:val="00F52895"/>
    <w:rsid w:val="00F559E0"/>
    <w:rsid w:val="00F5604C"/>
    <w:rsid w:val="00F60156"/>
    <w:rsid w:val="00F61273"/>
    <w:rsid w:val="00F6392C"/>
    <w:rsid w:val="00F641EF"/>
    <w:rsid w:val="00F6495C"/>
    <w:rsid w:val="00F66D3E"/>
    <w:rsid w:val="00F702B3"/>
    <w:rsid w:val="00F728E1"/>
    <w:rsid w:val="00F74E45"/>
    <w:rsid w:val="00F805E2"/>
    <w:rsid w:val="00F81940"/>
    <w:rsid w:val="00F83ECA"/>
    <w:rsid w:val="00F87A87"/>
    <w:rsid w:val="00F90C1D"/>
    <w:rsid w:val="00F912A6"/>
    <w:rsid w:val="00F91503"/>
    <w:rsid w:val="00F9277A"/>
    <w:rsid w:val="00FA293C"/>
    <w:rsid w:val="00FA6018"/>
    <w:rsid w:val="00FB00AD"/>
    <w:rsid w:val="00FB4240"/>
    <w:rsid w:val="00FB4E80"/>
    <w:rsid w:val="00FB56C3"/>
    <w:rsid w:val="00FB70BD"/>
    <w:rsid w:val="00FC0E84"/>
    <w:rsid w:val="00FC28D6"/>
    <w:rsid w:val="00FD0D2A"/>
    <w:rsid w:val="00FD11BB"/>
    <w:rsid w:val="00FD3336"/>
    <w:rsid w:val="00FD4AC0"/>
    <w:rsid w:val="00FE1840"/>
    <w:rsid w:val="00FE59BB"/>
    <w:rsid w:val="00FF179B"/>
    <w:rsid w:val="00FF1A6C"/>
    <w:rsid w:val="00FF3017"/>
    <w:rsid w:val="00FF3F77"/>
    <w:rsid w:val="00FF53C8"/>
    <w:rsid w:val="00FF5B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59EB"/>
  <w15:docId w15:val="{86D2F456-70AC-4B16-A115-68129619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418"/>
    <w:pPr>
      <w:spacing w:before="60"/>
      <w:ind w:firstLine="720"/>
      <w:jc w:val="both"/>
    </w:pPr>
    <w:rPr>
      <w:sz w:val="26"/>
      <w:szCs w:val="26"/>
      <w:lang w:val="en-US" w:eastAsia="en-US"/>
    </w:rPr>
  </w:style>
  <w:style w:type="paragraph" w:styleId="Heading1">
    <w:name w:val="heading 1"/>
    <w:basedOn w:val="Normal1"/>
    <w:next w:val="Normal1"/>
    <w:uiPriority w:val="9"/>
    <w:qFormat/>
    <w:rsid w:val="005B59D5"/>
    <w:pPr>
      <w:keepNext/>
      <w:keepLines/>
      <w:spacing w:before="480" w:after="120"/>
      <w:outlineLvl w:val="0"/>
    </w:pPr>
    <w:rPr>
      <w:b/>
      <w:sz w:val="48"/>
      <w:szCs w:val="48"/>
    </w:rPr>
  </w:style>
  <w:style w:type="paragraph" w:styleId="Heading2">
    <w:name w:val="heading 2"/>
    <w:basedOn w:val="Normal1"/>
    <w:next w:val="Normal1"/>
    <w:uiPriority w:val="9"/>
    <w:unhideWhenUsed/>
    <w:qFormat/>
    <w:rsid w:val="005B59D5"/>
    <w:pPr>
      <w:keepNext/>
      <w:outlineLvl w:val="1"/>
    </w:pPr>
    <w:rPr>
      <w:i/>
      <w:sz w:val="28"/>
      <w:szCs w:val="28"/>
    </w:rPr>
  </w:style>
  <w:style w:type="paragraph" w:styleId="Heading3">
    <w:name w:val="heading 3"/>
    <w:basedOn w:val="Normal1"/>
    <w:next w:val="Normal1"/>
    <w:link w:val="Heading3Char"/>
    <w:uiPriority w:val="9"/>
    <w:unhideWhenUsed/>
    <w:qFormat/>
    <w:rsid w:val="005B59D5"/>
    <w:pPr>
      <w:keepNext/>
      <w:jc w:val="center"/>
      <w:outlineLvl w:val="2"/>
    </w:pPr>
    <w:rPr>
      <w:i/>
      <w:sz w:val="28"/>
      <w:szCs w:val="28"/>
    </w:rPr>
  </w:style>
  <w:style w:type="paragraph" w:styleId="Heading4">
    <w:name w:val="heading 4"/>
    <w:basedOn w:val="Normal1"/>
    <w:next w:val="Normal1"/>
    <w:uiPriority w:val="9"/>
    <w:unhideWhenUsed/>
    <w:qFormat/>
    <w:rsid w:val="005B59D5"/>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5B59D5"/>
    <w:pPr>
      <w:keepNext/>
      <w:keepLines/>
      <w:spacing w:before="220" w:after="40"/>
      <w:outlineLvl w:val="4"/>
    </w:pPr>
    <w:rPr>
      <w:b/>
      <w:sz w:val="22"/>
      <w:szCs w:val="22"/>
    </w:rPr>
  </w:style>
  <w:style w:type="paragraph" w:styleId="Heading6">
    <w:name w:val="heading 6"/>
    <w:basedOn w:val="Normal1"/>
    <w:next w:val="Normal1"/>
    <w:uiPriority w:val="9"/>
    <w:semiHidden/>
    <w:unhideWhenUsed/>
    <w:qFormat/>
    <w:rsid w:val="005B59D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1F16BE"/>
    <w:pPr>
      <w:spacing w:before="60"/>
      <w:ind w:firstLine="720"/>
      <w:jc w:val="both"/>
    </w:pPr>
    <w:rPr>
      <w:sz w:val="26"/>
      <w:szCs w:val="26"/>
      <w:lang w:val="en-US" w:eastAsia="en-US"/>
    </w:rPr>
    <w:tblPr>
      <w:tblCellMar>
        <w:top w:w="0" w:type="dxa"/>
        <w:left w:w="0" w:type="dxa"/>
        <w:bottom w:w="0" w:type="dxa"/>
        <w:right w:w="0" w:type="dxa"/>
      </w:tblCellMar>
    </w:tblPr>
  </w:style>
  <w:style w:type="paragraph" w:styleId="Title">
    <w:name w:val="Title"/>
    <w:basedOn w:val="Normal1"/>
    <w:next w:val="Normal1"/>
    <w:uiPriority w:val="10"/>
    <w:qFormat/>
    <w:rsid w:val="005B59D5"/>
    <w:pPr>
      <w:keepNext/>
      <w:keepLines/>
      <w:spacing w:before="480" w:after="120"/>
    </w:pPr>
    <w:rPr>
      <w:b/>
      <w:sz w:val="72"/>
      <w:szCs w:val="72"/>
    </w:rPr>
  </w:style>
  <w:style w:type="paragraph" w:customStyle="1" w:styleId="Normal10">
    <w:name w:val="Normal1"/>
    <w:rsid w:val="00940015"/>
    <w:pPr>
      <w:spacing w:before="60"/>
      <w:ind w:firstLine="720"/>
      <w:jc w:val="both"/>
    </w:pPr>
    <w:rPr>
      <w:sz w:val="26"/>
      <w:szCs w:val="26"/>
      <w:lang w:val="en-US" w:eastAsia="en-US"/>
    </w:rPr>
  </w:style>
  <w:style w:type="paragraph" w:customStyle="1" w:styleId="Normal1">
    <w:name w:val="Normal1"/>
    <w:rsid w:val="005B59D5"/>
    <w:pPr>
      <w:spacing w:before="60"/>
      <w:ind w:firstLine="720"/>
      <w:jc w:val="both"/>
    </w:pPr>
    <w:rPr>
      <w:sz w:val="26"/>
      <w:szCs w:val="26"/>
      <w:lang w:val="en-US" w:eastAsia="en-US"/>
    </w:rPr>
  </w:style>
  <w:style w:type="paragraph" w:styleId="Subtitle">
    <w:name w:val="Subtitle"/>
    <w:basedOn w:val="Normal"/>
    <w:next w:val="Normal"/>
    <w:uiPriority w:val="11"/>
    <w:qFormat/>
    <w:rsid w:val="001F16B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5B59D5"/>
    <w:tblPr>
      <w:tblStyleRowBandSize w:val="1"/>
      <w:tblStyleColBandSize w:val="1"/>
    </w:tblPr>
  </w:style>
  <w:style w:type="table" w:customStyle="1" w:styleId="a0">
    <w:basedOn w:val="TableNormal"/>
    <w:rsid w:val="005B59D5"/>
    <w:tblPr>
      <w:tblStyleRowBandSize w:val="1"/>
      <w:tblStyleColBandSize w:val="1"/>
    </w:tblPr>
  </w:style>
  <w:style w:type="table" w:styleId="TableGrid">
    <w:name w:val="Table Grid"/>
    <w:basedOn w:val="TableNormal"/>
    <w:uiPriority w:val="39"/>
    <w:rsid w:val="00955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
    <w:rsid w:val="00940015"/>
    <w:tblPr>
      <w:tblStyleRowBandSize w:val="1"/>
      <w:tblStyleColBandSize w:val="1"/>
    </w:tblPr>
  </w:style>
  <w:style w:type="table" w:customStyle="1" w:styleId="a2">
    <w:basedOn w:val="TableNormal"/>
    <w:rsid w:val="00940015"/>
    <w:tblPr>
      <w:tblStyleRowBandSize w:val="1"/>
      <w:tblStyleColBandSize w:val="1"/>
    </w:tblPr>
  </w:style>
  <w:style w:type="table" w:customStyle="1" w:styleId="a3">
    <w:basedOn w:val="TableNormal"/>
    <w:rsid w:val="00940015"/>
    <w:tblPr>
      <w:tblStyleRowBandSize w:val="1"/>
      <w:tblStyleColBandSize w:val="1"/>
    </w:tblPr>
  </w:style>
  <w:style w:type="paragraph" w:styleId="ListParagraph">
    <w:name w:val="List Paragraph"/>
    <w:aliases w:val="1.1.1.1,Main numbered paragraph,List Paragraph1,Bullets,References,List Paragraph (numbered (a)),Resume Title,Citation List,ANNEX,List Paragraph2,List Paragraph 1,Cu Mong 3,TIT 2 IND,FIGURE-List Paragraph,My checklist,Ha,Heading 41,bullet"/>
    <w:basedOn w:val="Normal"/>
    <w:link w:val="ListParagraphChar"/>
    <w:uiPriority w:val="34"/>
    <w:qFormat/>
    <w:rsid w:val="00584D3B"/>
    <w:pPr>
      <w:ind w:left="720"/>
      <w:contextualSpacing/>
    </w:pPr>
  </w:style>
  <w:style w:type="table" w:customStyle="1" w:styleId="a4">
    <w:basedOn w:val="TableNormal"/>
    <w:rsid w:val="00940015"/>
    <w:tblPr>
      <w:tblStyleRowBandSize w:val="1"/>
      <w:tblStyleColBandSize w:val="1"/>
    </w:tblPr>
  </w:style>
  <w:style w:type="table" w:customStyle="1" w:styleId="a5">
    <w:basedOn w:val="TableNormal"/>
    <w:rsid w:val="00940015"/>
    <w:tblPr>
      <w:tblStyleRowBandSize w:val="1"/>
      <w:tblStyleColBandSize w:val="1"/>
    </w:tblPr>
  </w:style>
  <w:style w:type="paragraph" w:styleId="Header">
    <w:name w:val="header"/>
    <w:basedOn w:val="Normal"/>
    <w:link w:val="HeaderChar"/>
    <w:uiPriority w:val="99"/>
    <w:unhideWhenUsed/>
    <w:rsid w:val="003D644C"/>
    <w:pPr>
      <w:tabs>
        <w:tab w:val="center" w:pos="4680"/>
        <w:tab w:val="right" w:pos="9360"/>
      </w:tabs>
      <w:spacing w:before="0"/>
    </w:pPr>
  </w:style>
  <w:style w:type="character" w:customStyle="1" w:styleId="HeaderChar">
    <w:name w:val="Header Char"/>
    <w:basedOn w:val="DefaultParagraphFont"/>
    <w:link w:val="Header"/>
    <w:uiPriority w:val="99"/>
    <w:rsid w:val="003D644C"/>
  </w:style>
  <w:style w:type="paragraph" w:styleId="Footer">
    <w:name w:val="footer"/>
    <w:basedOn w:val="Normal"/>
    <w:link w:val="FooterChar"/>
    <w:uiPriority w:val="99"/>
    <w:unhideWhenUsed/>
    <w:rsid w:val="003D644C"/>
    <w:pPr>
      <w:tabs>
        <w:tab w:val="center" w:pos="4680"/>
        <w:tab w:val="right" w:pos="9360"/>
      </w:tabs>
      <w:spacing w:before="0"/>
    </w:pPr>
  </w:style>
  <w:style w:type="character" w:customStyle="1" w:styleId="FooterChar">
    <w:name w:val="Footer Char"/>
    <w:basedOn w:val="DefaultParagraphFont"/>
    <w:link w:val="Footer"/>
    <w:uiPriority w:val="99"/>
    <w:rsid w:val="003D644C"/>
  </w:style>
  <w:style w:type="table" w:customStyle="1" w:styleId="a6">
    <w:basedOn w:val="TableNormal"/>
    <w:rsid w:val="001F16BE"/>
    <w:tblPr>
      <w:tblStyleRowBandSize w:val="1"/>
      <w:tblStyleColBandSize w:val="1"/>
    </w:tblPr>
  </w:style>
  <w:style w:type="table" w:customStyle="1" w:styleId="a7">
    <w:basedOn w:val="TableNormal"/>
    <w:rsid w:val="001F16BE"/>
    <w:tblPr>
      <w:tblStyleRowBandSize w:val="1"/>
      <w:tblStyleColBandSize w:val="1"/>
    </w:tblPr>
  </w:style>
  <w:style w:type="paragraph" w:styleId="Revision">
    <w:name w:val="Revision"/>
    <w:hidden/>
    <w:uiPriority w:val="99"/>
    <w:semiHidden/>
    <w:rsid w:val="00487F28"/>
    <w:rPr>
      <w:sz w:val="26"/>
      <w:szCs w:val="26"/>
      <w:lang w:val="en-US" w:eastAsia="en-US"/>
    </w:rPr>
  </w:style>
  <w:style w:type="paragraph" w:styleId="FootnoteText">
    <w:name w:val="footnote text"/>
    <w:aliases w:val="fn,Footnote Text Char1 Char1,Footnote Text Char Char Char1,Footnote Text Char1 Char Char,Footnote Text Char Char Char Char Char Char Char,Footnote Text Char Char Char Char Char Char Char Char,single space,FOOTNOTES Char,single space1 Char"/>
    <w:basedOn w:val="Normal"/>
    <w:link w:val="FootnoteTextChar1"/>
    <w:uiPriority w:val="99"/>
    <w:unhideWhenUsed/>
    <w:qFormat/>
    <w:rsid w:val="00502125"/>
    <w:pPr>
      <w:spacing w:before="120" w:after="120"/>
      <w:ind w:firstLine="0"/>
    </w:pPr>
    <w:rPr>
      <w:position w:val="-1"/>
      <w:sz w:val="20"/>
      <w:szCs w:val="20"/>
    </w:rPr>
  </w:style>
  <w:style w:type="character" w:customStyle="1" w:styleId="FootnoteTextChar">
    <w:name w:val="Footnote Text Char"/>
    <w:aliases w:val="single space Char,ft Char,Car Car Car Car Char,Car Car Car Char,Car Char,Car Car Char,Footnote Text Char Char Char Char Char Char,Footnote Text Char Char Char Char Char Char Ch Char Char,Ch Char,Car Ca Char"/>
    <w:basedOn w:val="DefaultParagraphFont"/>
    <w:uiPriority w:val="99"/>
    <w:qFormat/>
    <w:rsid w:val="00502125"/>
    <w:rPr>
      <w:lang w:val="en-US" w:eastAsia="en-US"/>
    </w:rPr>
  </w:style>
  <w:style w:type="character" w:customStyle="1" w:styleId="FootnoteTextChar1">
    <w:name w:val="Footnote Text Char1"/>
    <w:aliases w:val="fn Char,Footnote Text Char1 Char1 Char,Footnote Text Char Char Char1 Char,Footnote Text Char1 Char Char Char,Footnote Text Char Char Char Char Char Char Char Char1,Footnote Text Char Char Char Char Char Char Char Char Char"/>
    <w:basedOn w:val="DefaultParagraphFont"/>
    <w:link w:val="FootnoteText"/>
    <w:uiPriority w:val="99"/>
    <w:rsid w:val="00502125"/>
    <w:rPr>
      <w:position w:val="-1"/>
      <w:lang w:val="en-US" w:eastAsia="en-US"/>
    </w:rPr>
  </w:style>
  <w:style w:type="character" w:styleId="FootnoteReference">
    <w:name w:val="footnote reference"/>
    <w:aliases w:val="Footnote text, BVI fnr,Re,Footnote dich,Footnote Reference Number,Footnote Reference_LVL6,Footnote text + 13 pt,Footnote,ftref,BearingPoint,16 Point,Superscript 6 Point,fr,Footnote Text1,f,(NECG) Footnote Reference,BVI fnr"/>
    <w:basedOn w:val="DefaultParagraphFont"/>
    <w:link w:val="4GCharCharChar"/>
    <w:unhideWhenUsed/>
    <w:qFormat/>
    <w:rsid w:val="00502125"/>
    <w:rPr>
      <w:vertAlign w:val="superscript"/>
    </w:rPr>
  </w:style>
  <w:style w:type="character" w:customStyle="1" w:styleId="ListParagraphChar">
    <w:name w:val="List Paragraph Char"/>
    <w:aliases w:val="1.1.1.1 Char,Main numbered paragraph Char,List Paragraph1 Char,Bullets Char,References Char,List Paragraph (numbered (a)) Char,Resume Title Char,Citation List Char,ANNEX Char,List Paragraph2 Char,List Paragraph 1 Char,Cu Mong 3 Char"/>
    <w:link w:val="ListParagraph"/>
    <w:uiPriority w:val="34"/>
    <w:qFormat/>
    <w:locked/>
    <w:rsid w:val="00502125"/>
    <w:rPr>
      <w:sz w:val="26"/>
      <w:szCs w:val="26"/>
      <w:lang w:val="en-US" w:eastAsia="en-U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link w:val="FootnoteReference"/>
    <w:uiPriority w:val="99"/>
    <w:qFormat/>
    <w:rsid w:val="00502125"/>
    <w:pPr>
      <w:spacing w:before="100" w:after="120" w:line="240" w:lineRule="exact"/>
    </w:pPr>
    <w:rPr>
      <w:sz w:val="20"/>
      <w:szCs w:val="20"/>
      <w:vertAlign w:val="superscript"/>
      <w:lang w:val="vi-VN" w:eastAsia="vi-VN"/>
    </w:rPr>
  </w:style>
  <w:style w:type="paragraph" w:styleId="NormalWeb">
    <w:name w:val="Normal (Web)"/>
    <w:aliases w:val="Обычный (веб)1,Обычный (веб) Знак,Обычный (веб) Знак1,Обычный (веб) Знак Знак,Normal (Web) Char Char Char Char Char, Char Char Char, Char Char,Char Char Char Char Char Char Char Char Char Char Char Char Char Char Char,Char Cha,Char C,Char8"/>
    <w:basedOn w:val="Normal"/>
    <w:link w:val="NormalWebChar"/>
    <w:uiPriority w:val="99"/>
    <w:unhideWhenUsed/>
    <w:qFormat/>
    <w:rsid w:val="00621456"/>
    <w:pPr>
      <w:spacing w:before="100" w:beforeAutospacing="1" w:after="100" w:afterAutospacing="1"/>
      <w:ind w:firstLine="0"/>
      <w:jc w:val="left"/>
    </w:pPr>
    <w:rPr>
      <w:sz w:val="24"/>
      <w:szCs w:val="24"/>
    </w:rPr>
  </w:style>
  <w:style w:type="paragraph" w:styleId="BalloonText">
    <w:name w:val="Balloon Text"/>
    <w:basedOn w:val="Normal"/>
    <w:link w:val="BalloonTextChar"/>
    <w:uiPriority w:val="99"/>
    <w:semiHidden/>
    <w:unhideWhenUsed/>
    <w:rsid w:val="00434AE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AEF"/>
    <w:rPr>
      <w:rFonts w:ascii="Segoe UI" w:hAnsi="Segoe UI" w:cs="Segoe UI"/>
      <w:sz w:val="18"/>
      <w:szCs w:val="18"/>
      <w:lang w:val="en-US" w:eastAsia="en-US"/>
    </w:rPr>
  </w:style>
  <w:style w:type="paragraph" w:customStyle="1" w:styleId="2">
    <w:name w:val="2"/>
    <w:basedOn w:val="Normal"/>
    <w:uiPriority w:val="99"/>
    <w:rsid w:val="000F06C3"/>
    <w:pPr>
      <w:spacing w:before="0"/>
      <w:ind w:firstLine="0"/>
    </w:pPr>
    <w:rPr>
      <w:b/>
      <w:bCs/>
      <w:i/>
      <w:iCs/>
      <w:sz w:val="28"/>
      <w:szCs w:val="20"/>
    </w:rPr>
  </w:style>
  <w:style w:type="character" w:customStyle="1" w:styleId="NormalWebChar">
    <w:name w:val="Normal (Web) Char"/>
    <w:aliases w:val="Обычный (веб)1 Char,Обычный (веб) Знак Char,Обычный (веб) Знак1 Char,Обычный (веб) Знак Знак Char,Normal (Web) Char Char Char Char Char Char, Char Char Char Char, Char Char Char1,Char Cha Char,Char C Char,Char8 Char"/>
    <w:link w:val="NormalWeb"/>
    <w:uiPriority w:val="99"/>
    <w:rsid w:val="000F06C3"/>
    <w:rPr>
      <w:sz w:val="24"/>
      <w:szCs w:val="24"/>
      <w:lang w:val="en-US" w:eastAsia="en-US"/>
    </w:rPr>
  </w:style>
  <w:style w:type="character" w:styleId="Strong">
    <w:name w:val="Strong"/>
    <w:basedOn w:val="DefaultParagraphFont"/>
    <w:uiPriority w:val="22"/>
    <w:qFormat/>
    <w:rsid w:val="00880F18"/>
    <w:rPr>
      <w:b/>
      <w:bCs/>
    </w:rPr>
  </w:style>
  <w:style w:type="paragraph" w:styleId="BodyTextIndent">
    <w:name w:val="Body Text Indent"/>
    <w:basedOn w:val="Normal"/>
    <w:link w:val="BodyTextIndentChar"/>
    <w:rsid w:val="00BA234F"/>
    <w:pPr>
      <w:spacing w:before="120" w:after="120"/>
      <w:ind w:firstLine="539"/>
    </w:pPr>
    <w:rPr>
      <w:sz w:val="28"/>
      <w:szCs w:val="24"/>
    </w:rPr>
  </w:style>
  <w:style w:type="character" w:customStyle="1" w:styleId="BodyTextIndentChar">
    <w:name w:val="Body Text Indent Char"/>
    <w:basedOn w:val="DefaultParagraphFont"/>
    <w:link w:val="BodyTextIndent"/>
    <w:rsid w:val="00BA234F"/>
    <w:rPr>
      <w:sz w:val="28"/>
      <w:szCs w:val="24"/>
      <w:lang w:val="en-US" w:eastAsia="en-US"/>
    </w:rPr>
  </w:style>
  <w:style w:type="paragraph" w:styleId="BodyText">
    <w:name w:val="Body Text"/>
    <w:basedOn w:val="Normal"/>
    <w:link w:val="BodyTextChar"/>
    <w:uiPriority w:val="99"/>
    <w:unhideWhenUsed/>
    <w:rsid w:val="00BA234F"/>
    <w:pPr>
      <w:spacing w:before="0" w:after="120"/>
      <w:ind w:firstLine="0"/>
      <w:jc w:val="left"/>
    </w:pPr>
    <w:rPr>
      <w:sz w:val="28"/>
      <w:szCs w:val="28"/>
    </w:rPr>
  </w:style>
  <w:style w:type="character" w:customStyle="1" w:styleId="BodyTextChar">
    <w:name w:val="Body Text Char"/>
    <w:basedOn w:val="DefaultParagraphFont"/>
    <w:link w:val="BodyText"/>
    <w:uiPriority w:val="99"/>
    <w:rsid w:val="00BA234F"/>
    <w:rPr>
      <w:sz w:val="28"/>
      <w:szCs w:val="28"/>
      <w:lang w:val="en-US" w:eastAsia="en-US"/>
    </w:rPr>
  </w:style>
  <w:style w:type="character" w:customStyle="1" w:styleId="Vnbnnidung">
    <w:name w:val="Văn bản nội dung_"/>
    <w:link w:val="Vnbnnidung0"/>
    <w:uiPriority w:val="99"/>
    <w:locked/>
    <w:rsid w:val="00BA234F"/>
    <w:rPr>
      <w:szCs w:val="28"/>
    </w:rPr>
  </w:style>
  <w:style w:type="paragraph" w:customStyle="1" w:styleId="Vnbnnidung0">
    <w:name w:val="Văn bản nội dung"/>
    <w:basedOn w:val="Normal"/>
    <w:link w:val="Vnbnnidung"/>
    <w:uiPriority w:val="99"/>
    <w:rsid w:val="00BA234F"/>
    <w:pPr>
      <w:widowControl w:val="0"/>
      <w:spacing w:before="0" w:after="220"/>
      <w:ind w:firstLine="400"/>
      <w:jc w:val="left"/>
    </w:pPr>
    <w:rPr>
      <w:sz w:val="20"/>
      <w:szCs w:val="28"/>
      <w:lang w:val="vi-VN" w:eastAsia="vi-VN"/>
    </w:rPr>
  </w:style>
  <w:style w:type="character" w:styleId="Hyperlink">
    <w:name w:val="Hyperlink"/>
    <w:basedOn w:val="DefaultParagraphFont"/>
    <w:uiPriority w:val="99"/>
    <w:unhideWhenUsed/>
    <w:rsid w:val="007C3E4C"/>
    <w:rPr>
      <w:color w:val="0563C1" w:themeColor="hyperlink"/>
      <w:u w:val="single"/>
    </w:rPr>
  </w:style>
  <w:style w:type="character" w:styleId="CommentReference">
    <w:name w:val="annotation reference"/>
    <w:basedOn w:val="DefaultParagraphFont"/>
    <w:uiPriority w:val="99"/>
    <w:semiHidden/>
    <w:unhideWhenUsed/>
    <w:rsid w:val="00F46FA8"/>
    <w:rPr>
      <w:sz w:val="16"/>
      <w:szCs w:val="16"/>
    </w:rPr>
  </w:style>
  <w:style w:type="paragraph" w:styleId="CommentText">
    <w:name w:val="annotation text"/>
    <w:basedOn w:val="Normal"/>
    <w:link w:val="CommentTextChar"/>
    <w:uiPriority w:val="99"/>
    <w:unhideWhenUsed/>
    <w:rsid w:val="00F46FA8"/>
    <w:rPr>
      <w:sz w:val="20"/>
      <w:szCs w:val="20"/>
    </w:rPr>
  </w:style>
  <w:style w:type="character" w:customStyle="1" w:styleId="CommentTextChar">
    <w:name w:val="Comment Text Char"/>
    <w:basedOn w:val="DefaultParagraphFont"/>
    <w:link w:val="CommentText"/>
    <w:uiPriority w:val="99"/>
    <w:rsid w:val="00F46FA8"/>
    <w:rPr>
      <w:lang w:val="en-US" w:eastAsia="en-US"/>
    </w:rPr>
  </w:style>
  <w:style w:type="paragraph" w:styleId="CommentSubject">
    <w:name w:val="annotation subject"/>
    <w:basedOn w:val="CommentText"/>
    <w:next w:val="CommentText"/>
    <w:link w:val="CommentSubjectChar"/>
    <w:uiPriority w:val="99"/>
    <w:semiHidden/>
    <w:unhideWhenUsed/>
    <w:rsid w:val="00F46FA8"/>
    <w:rPr>
      <w:b/>
      <w:bCs/>
    </w:rPr>
  </w:style>
  <w:style w:type="character" w:customStyle="1" w:styleId="CommentSubjectChar">
    <w:name w:val="Comment Subject Char"/>
    <w:basedOn w:val="CommentTextChar"/>
    <w:link w:val="CommentSubject"/>
    <w:uiPriority w:val="99"/>
    <w:semiHidden/>
    <w:rsid w:val="00F46FA8"/>
    <w:rPr>
      <w:b/>
      <w:bCs/>
      <w:lang w:val="en-US" w:eastAsia="en-US"/>
    </w:rPr>
  </w:style>
  <w:style w:type="character" w:customStyle="1" w:styleId="Heading3Char">
    <w:name w:val="Heading 3 Char"/>
    <w:basedOn w:val="DefaultParagraphFont"/>
    <w:link w:val="Heading3"/>
    <w:uiPriority w:val="9"/>
    <w:rsid w:val="00D37718"/>
    <w:rPr>
      <w:i/>
      <w:sz w:val="28"/>
      <w:szCs w:val="28"/>
      <w:lang w:val="en-US" w:eastAsia="en-US"/>
    </w:rPr>
  </w:style>
  <w:style w:type="paragraph" w:customStyle="1" w:styleId="isselectedend">
    <w:name w:val="isselectedend"/>
    <w:basedOn w:val="Normal"/>
    <w:rsid w:val="00702B4D"/>
    <w:pPr>
      <w:spacing w:before="100" w:beforeAutospacing="1" w:after="100" w:afterAutospacing="1"/>
      <w:ind w:firstLine="0"/>
      <w:jc w:val="left"/>
    </w:pPr>
    <w:rPr>
      <w:sz w:val="24"/>
      <w:szCs w:val="24"/>
    </w:rPr>
  </w:style>
  <w:style w:type="character" w:customStyle="1" w:styleId="citation-268">
    <w:name w:val="citation-268"/>
    <w:basedOn w:val="DefaultParagraphFont"/>
    <w:rsid w:val="00C601A7"/>
  </w:style>
  <w:style w:type="character" w:customStyle="1" w:styleId="fontstyle01">
    <w:name w:val="fontstyle01"/>
    <w:basedOn w:val="DefaultParagraphFont"/>
    <w:rsid w:val="0090788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86">
      <w:bodyDiv w:val="1"/>
      <w:marLeft w:val="0"/>
      <w:marRight w:val="0"/>
      <w:marTop w:val="0"/>
      <w:marBottom w:val="0"/>
      <w:divBdr>
        <w:top w:val="none" w:sz="0" w:space="0" w:color="auto"/>
        <w:left w:val="none" w:sz="0" w:space="0" w:color="auto"/>
        <w:bottom w:val="none" w:sz="0" w:space="0" w:color="auto"/>
        <w:right w:val="none" w:sz="0" w:space="0" w:color="auto"/>
      </w:divBdr>
    </w:div>
    <w:div w:id="8803768">
      <w:bodyDiv w:val="1"/>
      <w:marLeft w:val="0"/>
      <w:marRight w:val="0"/>
      <w:marTop w:val="0"/>
      <w:marBottom w:val="0"/>
      <w:divBdr>
        <w:top w:val="none" w:sz="0" w:space="0" w:color="auto"/>
        <w:left w:val="none" w:sz="0" w:space="0" w:color="auto"/>
        <w:bottom w:val="none" w:sz="0" w:space="0" w:color="auto"/>
        <w:right w:val="none" w:sz="0" w:space="0" w:color="auto"/>
      </w:divBdr>
    </w:div>
    <w:div w:id="9722825">
      <w:bodyDiv w:val="1"/>
      <w:marLeft w:val="0"/>
      <w:marRight w:val="0"/>
      <w:marTop w:val="0"/>
      <w:marBottom w:val="0"/>
      <w:divBdr>
        <w:top w:val="none" w:sz="0" w:space="0" w:color="auto"/>
        <w:left w:val="none" w:sz="0" w:space="0" w:color="auto"/>
        <w:bottom w:val="none" w:sz="0" w:space="0" w:color="auto"/>
        <w:right w:val="none" w:sz="0" w:space="0" w:color="auto"/>
      </w:divBdr>
    </w:div>
    <w:div w:id="23485383">
      <w:bodyDiv w:val="1"/>
      <w:marLeft w:val="0"/>
      <w:marRight w:val="0"/>
      <w:marTop w:val="0"/>
      <w:marBottom w:val="0"/>
      <w:divBdr>
        <w:top w:val="none" w:sz="0" w:space="0" w:color="auto"/>
        <w:left w:val="none" w:sz="0" w:space="0" w:color="auto"/>
        <w:bottom w:val="none" w:sz="0" w:space="0" w:color="auto"/>
        <w:right w:val="none" w:sz="0" w:space="0" w:color="auto"/>
      </w:divBdr>
    </w:div>
    <w:div w:id="69665904">
      <w:bodyDiv w:val="1"/>
      <w:marLeft w:val="0"/>
      <w:marRight w:val="0"/>
      <w:marTop w:val="0"/>
      <w:marBottom w:val="0"/>
      <w:divBdr>
        <w:top w:val="none" w:sz="0" w:space="0" w:color="auto"/>
        <w:left w:val="none" w:sz="0" w:space="0" w:color="auto"/>
        <w:bottom w:val="none" w:sz="0" w:space="0" w:color="auto"/>
        <w:right w:val="none" w:sz="0" w:space="0" w:color="auto"/>
      </w:divBdr>
    </w:div>
    <w:div w:id="92089774">
      <w:bodyDiv w:val="1"/>
      <w:marLeft w:val="0"/>
      <w:marRight w:val="0"/>
      <w:marTop w:val="0"/>
      <w:marBottom w:val="0"/>
      <w:divBdr>
        <w:top w:val="none" w:sz="0" w:space="0" w:color="auto"/>
        <w:left w:val="none" w:sz="0" w:space="0" w:color="auto"/>
        <w:bottom w:val="none" w:sz="0" w:space="0" w:color="auto"/>
        <w:right w:val="none" w:sz="0" w:space="0" w:color="auto"/>
      </w:divBdr>
    </w:div>
    <w:div w:id="106388847">
      <w:bodyDiv w:val="1"/>
      <w:marLeft w:val="0"/>
      <w:marRight w:val="0"/>
      <w:marTop w:val="0"/>
      <w:marBottom w:val="0"/>
      <w:divBdr>
        <w:top w:val="none" w:sz="0" w:space="0" w:color="auto"/>
        <w:left w:val="none" w:sz="0" w:space="0" w:color="auto"/>
        <w:bottom w:val="none" w:sz="0" w:space="0" w:color="auto"/>
        <w:right w:val="none" w:sz="0" w:space="0" w:color="auto"/>
      </w:divBdr>
    </w:div>
    <w:div w:id="120925417">
      <w:bodyDiv w:val="1"/>
      <w:marLeft w:val="0"/>
      <w:marRight w:val="0"/>
      <w:marTop w:val="0"/>
      <w:marBottom w:val="0"/>
      <w:divBdr>
        <w:top w:val="none" w:sz="0" w:space="0" w:color="auto"/>
        <w:left w:val="none" w:sz="0" w:space="0" w:color="auto"/>
        <w:bottom w:val="none" w:sz="0" w:space="0" w:color="auto"/>
        <w:right w:val="none" w:sz="0" w:space="0" w:color="auto"/>
      </w:divBdr>
    </w:div>
    <w:div w:id="122815745">
      <w:bodyDiv w:val="1"/>
      <w:marLeft w:val="0"/>
      <w:marRight w:val="0"/>
      <w:marTop w:val="0"/>
      <w:marBottom w:val="0"/>
      <w:divBdr>
        <w:top w:val="none" w:sz="0" w:space="0" w:color="auto"/>
        <w:left w:val="none" w:sz="0" w:space="0" w:color="auto"/>
        <w:bottom w:val="none" w:sz="0" w:space="0" w:color="auto"/>
        <w:right w:val="none" w:sz="0" w:space="0" w:color="auto"/>
      </w:divBdr>
    </w:div>
    <w:div w:id="165242840">
      <w:bodyDiv w:val="1"/>
      <w:marLeft w:val="0"/>
      <w:marRight w:val="0"/>
      <w:marTop w:val="0"/>
      <w:marBottom w:val="0"/>
      <w:divBdr>
        <w:top w:val="none" w:sz="0" w:space="0" w:color="auto"/>
        <w:left w:val="none" w:sz="0" w:space="0" w:color="auto"/>
        <w:bottom w:val="none" w:sz="0" w:space="0" w:color="auto"/>
        <w:right w:val="none" w:sz="0" w:space="0" w:color="auto"/>
      </w:divBdr>
    </w:div>
    <w:div w:id="191461432">
      <w:bodyDiv w:val="1"/>
      <w:marLeft w:val="0"/>
      <w:marRight w:val="0"/>
      <w:marTop w:val="0"/>
      <w:marBottom w:val="0"/>
      <w:divBdr>
        <w:top w:val="none" w:sz="0" w:space="0" w:color="auto"/>
        <w:left w:val="none" w:sz="0" w:space="0" w:color="auto"/>
        <w:bottom w:val="none" w:sz="0" w:space="0" w:color="auto"/>
        <w:right w:val="none" w:sz="0" w:space="0" w:color="auto"/>
      </w:divBdr>
    </w:div>
    <w:div w:id="191961966">
      <w:bodyDiv w:val="1"/>
      <w:marLeft w:val="0"/>
      <w:marRight w:val="0"/>
      <w:marTop w:val="0"/>
      <w:marBottom w:val="0"/>
      <w:divBdr>
        <w:top w:val="none" w:sz="0" w:space="0" w:color="auto"/>
        <w:left w:val="none" w:sz="0" w:space="0" w:color="auto"/>
        <w:bottom w:val="none" w:sz="0" w:space="0" w:color="auto"/>
        <w:right w:val="none" w:sz="0" w:space="0" w:color="auto"/>
      </w:divBdr>
    </w:div>
    <w:div w:id="197163806">
      <w:bodyDiv w:val="1"/>
      <w:marLeft w:val="0"/>
      <w:marRight w:val="0"/>
      <w:marTop w:val="0"/>
      <w:marBottom w:val="0"/>
      <w:divBdr>
        <w:top w:val="none" w:sz="0" w:space="0" w:color="auto"/>
        <w:left w:val="none" w:sz="0" w:space="0" w:color="auto"/>
        <w:bottom w:val="none" w:sz="0" w:space="0" w:color="auto"/>
        <w:right w:val="none" w:sz="0" w:space="0" w:color="auto"/>
      </w:divBdr>
    </w:div>
    <w:div w:id="210113921">
      <w:bodyDiv w:val="1"/>
      <w:marLeft w:val="0"/>
      <w:marRight w:val="0"/>
      <w:marTop w:val="0"/>
      <w:marBottom w:val="0"/>
      <w:divBdr>
        <w:top w:val="none" w:sz="0" w:space="0" w:color="auto"/>
        <w:left w:val="none" w:sz="0" w:space="0" w:color="auto"/>
        <w:bottom w:val="none" w:sz="0" w:space="0" w:color="auto"/>
        <w:right w:val="none" w:sz="0" w:space="0" w:color="auto"/>
      </w:divBdr>
    </w:div>
    <w:div w:id="231283436">
      <w:bodyDiv w:val="1"/>
      <w:marLeft w:val="0"/>
      <w:marRight w:val="0"/>
      <w:marTop w:val="0"/>
      <w:marBottom w:val="0"/>
      <w:divBdr>
        <w:top w:val="none" w:sz="0" w:space="0" w:color="auto"/>
        <w:left w:val="none" w:sz="0" w:space="0" w:color="auto"/>
        <w:bottom w:val="none" w:sz="0" w:space="0" w:color="auto"/>
        <w:right w:val="none" w:sz="0" w:space="0" w:color="auto"/>
      </w:divBdr>
    </w:div>
    <w:div w:id="234053150">
      <w:bodyDiv w:val="1"/>
      <w:marLeft w:val="0"/>
      <w:marRight w:val="0"/>
      <w:marTop w:val="0"/>
      <w:marBottom w:val="0"/>
      <w:divBdr>
        <w:top w:val="none" w:sz="0" w:space="0" w:color="auto"/>
        <w:left w:val="none" w:sz="0" w:space="0" w:color="auto"/>
        <w:bottom w:val="none" w:sz="0" w:space="0" w:color="auto"/>
        <w:right w:val="none" w:sz="0" w:space="0" w:color="auto"/>
      </w:divBdr>
    </w:div>
    <w:div w:id="276371247">
      <w:bodyDiv w:val="1"/>
      <w:marLeft w:val="0"/>
      <w:marRight w:val="0"/>
      <w:marTop w:val="0"/>
      <w:marBottom w:val="0"/>
      <w:divBdr>
        <w:top w:val="none" w:sz="0" w:space="0" w:color="auto"/>
        <w:left w:val="none" w:sz="0" w:space="0" w:color="auto"/>
        <w:bottom w:val="none" w:sz="0" w:space="0" w:color="auto"/>
        <w:right w:val="none" w:sz="0" w:space="0" w:color="auto"/>
      </w:divBdr>
    </w:div>
    <w:div w:id="296423829">
      <w:bodyDiv w:val="1"/>
      <w:marLeft w:val="0"/>
      <w:marRight w:val="0"/>
      <w:marTop w:val="0"/>
      <w:marBottom w:val="0"/>
      <w:divBdr>
        <w:top w:val="none" w:sz="0" w:space="0" w:color="auto"/>
        <w:left w:val="none" w:sz="0" w:space="0" w:color="auto"/>
        <w:bottom w:val="none" w:sz="0" w:space="0" w:color="auto"/>
        <w:right w:val="none" w:sz="0" w:space="0" w:color="auto"/>
      </w:divBdr>
    </w:div>
    <w:div w:id="310715743">
      <w:bodyDiv w:val="1"/>
      <w:marLeft w:val="0"/>
      <w:marRight w:val="0"/>
      <w:marTop w:val="0"/>
      <w:marBottom w:val="0"/>
      <w:divBdr>
        <w:top w:val="none" w:sz="0" w:space="0" w:color="auto"/>
        <w:left w:val="none" w:sz="0" w:space="0" w:color="auto"/>
        <w:bottom w:val="none" w:sz="0" w:space="0" w:color="auto"/>
        <w:right w:val="none" w:sz="0" w:space="0" w:color="auto"/>
      </w:divBdr>
    </w:div>
    <w:div w:id="317612414">
      <w:bodyDiv w:val="1"/>
      <w:marLeft w:val="0"/>
      <w:marRight w:val="0"/>
      <w:marTop w:val="0"/>
      <w:marBottom w:val="0"/>
      <w:divBdr>
        <w:top w:val="none" w:sz="0" w:space="0" w:color="auto"/>
        <w:left w:val="none" w:sz="0" w:space="0" w:color="auto"/>
        <w:bottom w:val="none" w:sz="0" w:space="0" w:color="auto"/>
        <w:right w:val="none" w:sz="0" w:space="0" w:color="auto"/>
      </w:divBdr>
    </w:div>
    <w:div w:id="324557579">
      <w:bodyDiv w:val="1"/>
      <w:marLeft w:val="0"/>
      <w:marRight w:val="0"/>
      <w:marTop w:val="0"/>
      <w:marBottom w:val="0"/>
      <w:divBdr>
        <w:top w:val="none" w:sz="0" w:space="0" w:color="auto"/>
        <w:left w:val="none" w:sz="0" w:space="0" w:color="auto"/>
        <w:bottom w:val="none" w:sz="0" w:space="0" w:color="auto"/>
        <w:right w:val="none" w:sz="0" w:space="0" w:color="auto"/>
      </w:divBdr>
    </w:div>
    <w:div w:id="401634546">
      <w:bodyDiv w:val="1"/>
      <w:marLeft w:val="0"/>
      <w:marRight w:val="0"/>
      <w:marTop w:val="0"/>
      <w:marBottom w:val="0"/>
      <w:divBdr>
        <w:top w:val="none" w:sz="0" w:space="0" w:color="auto"/>
        <w:left w:val="none" w:sz="0" w:space="0" w:color="auto"/>
        <w:bottom w:val="none" w:sz="0" w:space="0" w:color="auto"/>
        <w:right w:val="none" w:sz="0" w:space="0" w:color="auto"/>
      </w:divBdr>
    </w:div>
    <w:div w:id="405227376">
      <w:bodyDiv w:val="1"/>
      <w:marLeft w:val="0"/>
      <w:marRight w:val="0"/>
      <w:marTop w:val="0"/>
      <w:marBottom w:val="0"/>
      <w:divBdr>
        <w:top w:val="none" w:sz="0" w:space="0" w:color="auto"/>
        <w:left w:val="none" w:sz="0" w:space="0" w:color="auto"/>
        <w:bottom w:val="none" w:sz="0" w:space="0" w:color="auto"/>
        <w:right w:val="none" w:sz="0" w:space="0" w:color="auto"/>
      </w:divBdr>
    </w:div>
    <w:div w:id="416219376">
      <w:bodyDiv w:val="1"/>
      <w:marLeft w:val="0"/>
      <w:marRight w:val="0"/>
      <w:marTop w:val="0"/>
      <w:marBottom w:val="0"/>
      <w:divBdr>
        <w:top w:val="none" w:sz="0" w:space="0" w:color="auto"/>
        <w:left w:val="none" w:sz="0" w:space="0" w:color="auto"/>
        <w:bottom w:val="none" w:sz="0" w:space="0" w:color="auto"/>
        <w:right w:val="none" w:sz="0" w:space="0" w:color="auto"/>
      </w:divBdr>
    </w:div>
    <w:div w:id="436876663">
      <w:bodyDiv w:val="1"/>
      <w:marLeft w:val="0"/>
      <w:marRight w:val="0"/>
      <w:marTop w:val="0"/>
      <w:marBottom w:val="0"/>
      <w:divBdr>
        <w:top w:val="none" w:sz="0" w:space="0" w:color="auto"/>
        <w:left w:val="none" w:sz="0" w:space="0" w:color="auto"/>
        <w:bottom w:val="none" w:sz="0" w:space="0" w:color="auto"/>
        <w:right w:val="none" w:sz="0" w:space="0" w:color="auto"/>
      </w:divBdr>
    </w:div>
    <w:div w:id="475608176">
      <w:bodyDiv w:val="1"/>
      <w:marLeft w:val="0"/>
      <w:marRight w:val="0"/>
      <w:marTop w:val="0"/>
      <w:marBottom w:val="0"/>
      <w:divBdr>
        <w:top w:val="none" w:sz="0" w:space="0" w:color="auto"/>
        <w:left w:val="none" w:sz="0" w:space="0" w:color="auto"/>
        <w:bottom w:val="none" w:sz="0" w:space="0" w:color="auto"/>
        <w:right w:val="none" w:sz="0" w:space="0" w:color="auto"/>
      </w:divBdr>
    </w:div>
    <w:div w:id="490951141">
      <w:bodyDiv w:val="1"/>
      <w:marLeft w:val="0"/>
      <w:marRight w:val="0"/>
      <w:marTop w:val="0"/>
      <w:marBottom w:val="0"/>
      <w:divBdr>
        <w:top w:val="none" w:sz="0" w:space="0" w:color="auto"/>
        <w:left w:val="none" w:sz="0" w:space="0" w:color="auto"/>
        <w:bottom w:val="none" w:sz="0" w:space="0" w:color="auto"/>
        <w:right w:val="none" w:sz="0" w:space="0" w:color="auto"/>
      </w:divBdr>
    </w:div>
    <w:div w:id="493303635">
      <w:bodyDiv w:val="1"/>
      <w:marLeft w:val="0"/>
      <w:marRight w:val="0"/>
      <w:marTop w:val="0"/>
      <w:marBottom w:val="0"/>
      <w:divBdr>
        <w:top w:val="none" w:sz="0" w:space="0" w:color="auto"/>
        <w:left w:val="none" w:sz="0" w:space="0" w:color="auto"/>
        <w:bottom w:val="none" w:sz="0" w:space="0" w:color="auto"/>
        <w:right w:val="none" w:sz="0" w:space="0" w:color="auto"/>
      </w:divBdr>
    </w:div>
    <w:div w:id="495190924">
      <w:bodyDiv w:val="1"/>
      <w:marLeft w:val="0"/>
      <w:marRight w:val="0"/>
      <w:marTop w:val="0"/>
      <w:marBottom w:val="0"/>
      <w:divBdr>
        <w:top w:val="none" w:sz="0" w:space="0" w:color="auto"/>
        <w:left w:val="none" w:sz="0" w:space="0" w:color="auto"/>
        <w:bottom w:val="none" w:sz="0" w:space="0" w:color="auto"/>
        <w:right w:val="none" w:sz="0" w:space="0" w:color="auto"/>
      </w:divBdr>
    </w:div>
    <w:div w:id="532306535">
      <w:bodyDiv w:val="1"/>
      <w:marLeft w:val="0"/>
      <w:marRight w:val="0"/>
      <w:marTop w:val="0"/>
      <w:marBottom w:val="0"/>
      <w:divBdr>
        <w:top w:val="none" w:sz="0" w:space="0" w:color="auto"/>
        <w:left w:val="none" w:sz="0" w:space="0" w:color="auto"/>
        <w:bottom w:val="none" w:sz="0" w:space="0" w:color="auto"/>
        <w:right w:val="none" w:sz="0" w:space="0" w:color="auto"/>
      </w:divBdr>
    </w:div>
    <w:div w:id="548882324">
      <w:bodyDiv w:val="1"/>
      <w:marLeft w:val="0"/>
      <w:marRight w:val="0"/>
      <w:marTop w:val="0"/>
      <w:marBottom w:val="0"/>
      <w:divBdr>
        <w:top w:val="none" w:sz="0" w:space="0" w:color="auto"/>
        <w:left w:val="none" w:sz="0" w:space="0" w:color="auto"/>
        <w:bottom w:val="none" w:sz="0" w:space="0" w:color="auto"/>
        <w:right w:val="none" w:sz="0" w:space="0" w:color="auto"/>
      </w:divBdr>
    </w:div>
    <w:div w:id="573247313">
      <w:bodyDiv w:val="1"/>
      <w:marLeft w:val="0"/>
      <w:marRight w:val="0"/>
      <w:marTop w:val="0"/>
      <w:marBottom w:val="0"/>
      <w:divBdr>
        <w:top w:val="none" w:sz="0" w:space="0" w:color="auto"/>
        <w:left w:val="none" w:sz="0" w:space="0" w:color="auto"/>
        <w:bottom w:val="none" w:sz="0" w:space="0" w:color="auto"/>
        <w:right w:val="none" w:sz="0" w:space="0" w:color="auto"/>
      </w:divBdr>
    </w:div>
    <w:div w:id="578903832">
      <w:bodyDiv w:val="1"/>
      <w:marLeft w:val="0"/>
      <w:marRight w:val="0"/>
      <w:marTop w:val="0"/>
      <w:marBottom w:val="0"/>
      <w:divBdr>
        <w:top w:val="none" w:sz="0" w:space="0" w:color="auto"/>
        <w:left w:val="none" w:sz="0" w:space="0" w:color="auto"/>
        <w:bottom w:val="none" w:sz="0" w:space="0" w:color="auto"/>
        <w:right w:val="none" w:sz="0" w:space="0" w:color="auto"/>
      </w:divBdr>
    </w:div>
    <w:div w:id="584535534">
      <w:bodyDiv w:val="1"/>
      <w:marLeft w:val="0"/>
      <w:marRight w:val="0"/>
      <w:marTop w:val="0"/>
      <w:marBottom w:val="0"/>
      <w:divBdr>
        <w:top w:val="none" w:sz="0" w:space="0" w:color="auto"/>
        <w:left w:val="none" w:sz="0" w:space="0" w:color="auto"/>
        <w:bottom w:val="none" w:sz="0" w:space="0" w:color="auto"/>
        <w:right w:val="none" w:sz="0" w:space="0" w:color="auto"/>
      </w:divBdr>
    </w:div>
    <w:div w:id="588545975">
      <w:bodyDiv w:val="1"/>
      <w:marLeft w:val="0"/>
      <w:marRight w:val="0"/>
      <w:marTop w:val="0"/>
      <w:marBottom w:val="0"/>
      <w:divBdr>
        <w:top w:val="none" w:sz="0" w:space="0" w:color="auto"/>
        <w:left w:val="none" w:sz="0" w:space="0" w:color="auto"/>
        <w:bottom w:val="none" w:sz="0" w:space="0" w:color="auto"/>
        <w:right w:val="none" w:sz="0" w:space="0" w:color="auto"/>
      </w:divBdr>
    </w:div>
    <w:div w:id="625702528">
      <w:bodyDiv w:val="1"/>
      <w:marLeft w:val="0"/>
      <w:marRight w:val="0"/>
      <w:marTop w:val="0"/>
      <w:marBottom w:val="0"/>
      <w:divBdr>
        <w:top w:val="none" w:sz="0" w:space="0" w:color="auto"/>
        <w:left w:val="none" w:sz="0" w:space="0" w:color="auto"/>
        <w:bottom w:val="none" w:sz="0" w:space="0" w:color="auto"/>
        <w:right w:val="none" w:sz="0" w:space="0" w:color="auto"/>
      </w:divBdr>
    </w:div>
    <w:div w:id="643461527">
      <w:bodyDiv w:val="1"/>
      <w:marLeft w:val="0"/>
      <w:marRight w:val="0"/>
      <w:marTop w:val="0"/>
      <w:marBottom w:val="0"/>
      <w:divBdr>
        <w:top w:val="none" w:sz="0" w:space="0" w:color="auto"/>
        <w:left w:val="none" w:sz="0" w:space="0" w:color="auto"/>
        <w:bottom w:val="none" w:sz="0" w:space="0" w:color="auto"/>
        <w:right w:val="none" w:sz="0" w:space="0" w:color="auto"/>
      </w:divBdr>
    </w:div>
    <w:div w:id="675229035">
      <w:bodyDiv w:val="1"/>
      <w:marLeft w:val="0"/>
      <w:marRight w:val="0"/>
      <w:marTop w:val="0"/>
      <w:marBottom w:val="0"/>
      <w:divBdr>
        <w:top w:val="none" w:sz="0" w:space="0" w:color="auto"/>
        <w:left w:val="none" w:sz="0" w:space="0" w:color="auto"/>
        <w:bottom w:val="none" w:sz="0" w:space="0" w:color="auto"/>
        <w:right w:val="none" w:sz="0" w:space="0" w:color="auto"/>
      </w:divBdr>
    </w:div>
    <w:div w:id="732168347">
      <w:bodyDiv w:val="1"/>
      <w:marLeft w:val="0"/>
      <w:marRight w:val="0"/>
      <w:marTop w:val="0"/>
      <w:marBottom w:val="0"/>
      <w:divBdr>
        <w:top w:val="none" w:sz="0" w:space="0" w:color="auto"/>
        <w:left w:val="none" w:sz="0" w:space="0" w:color="auto"/>
        <w:bottom w:val="none" w:sz="0" w:space="0" w:color="auto"/>
        <w:right w:val="none" w:sz="0" w:space="0" w:color="auto"/>
      </w:divBdr>
    </w:div>
    <w:div w:id="744575379">
      <w:bodyDiv w:val="1"/>
      <w:marLeft w:val="0"/>
      <w:marRight w:val="0"/>
      <w:marTop w:val="0"/>
      <w:marBottom w:val="0"/>
      <w:divBdr>
        <w:top w:val="none" w:sz="0" w:space="0" w:color="auto"/>
        <w:left w:val="none" w:sz="0" w:space="0" w:color="auto"/>
        <w:bottom w:val="none" w:sz="0" w:space="0" w:color="auto"/>
        <w:right w:val="none" w:sz="0" w:space="0" w:color="auto"/>
      </w:divBdr>
    </w:div>
    <w:div w:id="798838674">
      <w:bodyDiv w:val="1"/>
      <w:marLeft w:val="0"/>
      <w:marRight w:val="0"/>
      <w:marTop w:val="0"/>
      <w:marBottom w:val="0"/>
      <w:divBdr>
        <w:top w:val="none" w:sz="0" w:space="0" w:color="auto"/>
        <w:left w:val="none" w:sz="0" w:space="0" w:color="auto"/>
        <w:bottom w:val="none" w:sz="0" w:space="0" w:color="auto"/>
        <w:right w:val="none" w:sz="0" w:space="0" w:color="auto"/>
      </w:divBdr>
    </w:div>
    <w:div w:id="848257144">
      <w:bodyDiv w:val="1"/>
      <w:marLeft w:val="0"/>
      <w:marRight w:val="0"/>
      <w:marTop w:val="0"/>
      <w:marBottom w:val="0"/>
      <w:divBdr>
        <w:top w:val="none" w:sz="0" w:space="0" w:color="auto"/>
        <w:left w:val="none" w:sz="0" w:space="0" w:color="auto"/>
        <w:bottom w:val="none" w:sz="0" w:space="0" w:color="auto"/>
        <w:right w:val="none" w:sz="0" w:space="0" w:color="auto"/>
      </w:divBdr>
    </w:div>
    <w:div w:id="857112528">
      <w:bodyDiv w:val="1"/>
      <w:marLeft w:val="0"/>
      <w:marRight w:val="0"/>
      <w:marTop w:val="0"/>
      <w:marBottom w:val="0"/>
      <w:divBdr>
        <w:top w:val="none" w:sz="0" w:space="0" w:color="auto"/>
        <w:left w:val="none" w:sz="0" w:space="0" w:color="auto"/>
        <w:bottom w:val="none" w:sz="0" w:space="0" w:color="auto"/>
        <w:right w:val="none" w:sz="0" w:space="0" w:color="auto"/>
      </w:divBdr>
    </w:div>
    <w:div w:id="908006129">
      <w:bodyDiv w:val="1"/>
      <w:marLeft w:val="0"/>
      <w:marRight w:val="0"/>
      <w:marTop w:val="0"/>
      <w:marBottom w:val="0"/>
      <w:divBdr>
        <w:top w:val="none" w:sz="0" w:space="0" w:color="auto"/>
        <w:left w:val="none" w:sz="0" w:space="0" w:color="auto"/>
        <w:bottom w:val="none" w:sz="0" w:space="0" w:color="auto"/>
        <w:right w:val="none" w:sz="0" w:space="0" w:color="auto"/>
      </w:divBdr>
    </w:div>
    <w:div w:id="980111423">
      <w:bodyDiv w:val="1"/>
      <w:marLeft w:val="0"/>
      <w:marRight w:val="0"/>
      <w:marTop w:val="0"/>
      <w:marBottom w:val="0"/>
      <w:divBdr>
        <w:top w:val="none" w:sz="0" w:space="0" w:color="auto"/>
        <w:left w:val="none" w:sz="0" w:space="0" w:color="auto"/>
        <w:bottom w:val="none" w:sz="0" w:space="0" w:color="auto"/>
        <w:right w:val="none" w:sz="0" w:space="0" w:color="auto"/>
      </w:divBdr>
    </w:div>
    <w:div w:id="998195923">
      <w:bodyDiv w:val="1"/>
      <w:marLeft w:val="0"/>
      <w:marRight w:val="0"/>
      <w:marTop w:val="0"/>
      <w:marBottom w:val="0"/>
      <w:divBdr>
        <w:top w:val="none" w:sz="0" w:space="0" w:color="auto"/>
        <w:left w:val="none" w:sz="0" w:space="0" w:color="auto"/>
        <w:bottom w:val="none" w:sz="0" w:space="0" w:color="auto"/>
        <w:right w:val="none" w:sz="0" w:space="0" w:color="auto"/>
      </w:divBdr>
    </w:div>
    <w:div w:id="1012535786">
      <w:bodyDiv w:val="1"/>
      <w:marLeft w:val="0"/>
      <w:marRight w:val="0"/>
      <w:marTop w:val="0"/>
      <w:marBottom w:val="0"/>
      <w:divBdr>
        <w:top w:val="none" w:sz="0" w:space="0" w:color="auto"/>
        <w:left w:val="none" w:sz="0" w:space="0" w:color="auto"/>
        <w:bottom w:val="none" w:sz="0" w:space="0" w:color="auto"/>
        <w:right w:val="none" w:sz="0" w:space="0" w:color="auto"/>
      </w:divBdr>
    </w:div>
    <w:div w:id="1043596433">
      <w:bodyDiv w:val="1"/>
      <w:marLeft w:val="0"/>
      <w:marRight w:val="0"/>
      <w:marTop w:val="0"/>
      <w:marBottom w:val="0"/>
      <w:divBdr>
        <w:top w:val="none" w:sz="0" w:space="0" w:color="auto"/>
        <w:left w:val="none" w:sz="0" w:space="0" w:color="auto"/>
        <w:bottom w:val="none" w:sz="0" w:space="0" w:color="auto"/>
        <w:right w:val="none" w:sz="0" w:space="0" w:color="auto"/>
      </w:divBdr>
    </w:div>
    <w:div w:id="1099328161">
      <w:bodyDiv w:val="1"/>
      <w:marLeft w:val="0"/>
      <w:marRight w:val="0"/>
      <w:marTop w:val="0"/>
      <w:marBottom w:val="0"/>
      <w:divBdr>
        <w:top w:val="none" w:sz="0" w:space="0" w:color="auto"/>
        <w:left w:val="none" w:sz="0" w:space="0" w:color="auto"/>
        <w:bottom w:val="none" w:sz="0" w:space="0" w:color="auto"/>
        <w:right w:val="none" w:sz="0" w:space="0" w:color="auto"/>
      </w:divBdr>
    </w:div>
    <w:div w:id="1139422789">
      <w:bodyDiv w:val="1"/>
      <w:marLeft w:val="0"/>
      <w:marRight w:val="0"/>
      <w:marTop w:val="0"/>
      <w:marBottom w:val="0"/>
      <w:divBdr>
        <w:top w:val="none" w:sz="0" w:space="0" w:color="auto"/>
        <w:left w:val="none" w:sz="0" w:space="0" w:color="auto"/>
        <w:bottom w:val="none" w:sz="0" w:space="0" w:color="auto"/>
        <w:right w:val="none" w:sz="0" w:space="0" w:color="auto"/>
      </w:divBdr>
    </w:div>
    <w:div w:id="1176457712">
      <w:bodyDiv w:val="1"/>
      <w:marLeft w:val="0"/>
      <w:marRight w:val="0"/>
      <w:marTop w:val="0"/>
      <w:marBottom w:val="0"/>
      <w:divBdr>
        <w:top w:val="none" w:sz="0" w:space="0" w:color="auto"/>
        <w:left w:val="none" w:sz="0" w:space="0" w:color="auto"/>
        <w:bottom w:val="none" w:sz="0" w:space="0" w:color="auto"/>
        <w:right w:val="none" w:sz="0" w:space="0" w:color="auto"/>
      </w:divBdr>
    </w:div>
    <w:div w:id="1200435471">
      <w:bodyDiv w:val="1"/>
      <w:marLeft w:val="0"/>
      <w:marRight w:val="0"/>
      <w:marTop w:val="0"/>
      <w:marBottom w:val="0"/>
      <w:divBdr>
        <w:top w:val="none" w:sz="0" w:space="0" w:color="auto"/>
        <w:left w:val="none" w:sz="0" w:space="0" w:color="auto"/>
        <w:bottom w:val="none" w:sz="0" w:space="0" w:color="auto"/>
        <w:right w:val="none" w:sz="0" w:space="0" w:color="auto"/>
      </w:divBdr>
    </w:div>
    <w:div w:id="1200631155">
      <w:bodyDiv w:val="1"/>
      <w:marLeft w:val="0"/>
      <w:marRight w:val="0"/>
      <w:marTop w:val="0"/>
      <w:marBottom w:val="0"/>
      <w:divBdr>
        <w:top w:val="none" w:sz="0" w:space="0" w:color="auto"/>
        <w:left w:val="none" w:sz="0" w:space="0" w:color="auto"/>
        <w:bottom w:val="none" w:sz="0" w:space="0" w:color="auto"/>
        <w:right w:val="none" w:sz="0" w:space="0" w:color="auto"/>
      </w:divBdr>
    </w:div>
    <w:div w:id="1221939991">
      <w:bodyDiv w:val="1"/>
      <w:marLeft w:val="0"/>
      <w:marRight w:val="0"/>
      <w:marTop w:val="0"/>
      <w:marBottom w:val="0"/>
      <w:divBdr>
        <w:top w:val="none" w:sz="0" w:space="0" w:color="auto"/>
        <w:left w:val="none" w:sz="0" w:space="0" w:color="auto"/>
        <w:bottom w:val="none" w:sz="0" w:space="0" w:color="auto"/>
        <w:right w:val="none" w:sz="0" w:space="0" w:color="auto"/>
      </w:divBdr>
    </w:div>
    <w:div w:id="1227565171">
      <w:bodyDiv w:val="1"/>
      <w:marLeft w:val="0"/>
      <w:marRight w:val="0"/>
      <w:marTop w:val="0"/>
      <w:marBottom w:val="0"/>
      <w:divBdr>
        <w:top w:val="none" w:sz="0" w:space="0" w:color="auto"/>
        <w:left w:val="none" w:sz="0" w:space="0" w:color="auto"/>
        <w:bottom w:val="none" w:sz="0" w:space="0" w:color="auto"/>
        <w:right w:val="none" w:sz="0" w:space="0" w:color="auto"/>
      </w:divBdr>
    </w:div>
    <w:div w:id="1281566557">
      <w:bodyDiv w:val="1"/>
      <w:marLeft w:val="0"/>
      <w:marRight w:val="0"/>
      <w:marTop w:val="0"/>
      <w:marBottom w:val="0"/>
      <w:divBdr>
        <w:top w:val="none" w:sz="0" w:space="0" w:color="auto"/>
        <w:left w:val="none" w:sz="0" w:space="0" w:color="auto"/>
        <w:bottom w:val="none" w:sz="0" w:space="0" w:color="auto"/>
        <w:right w:val="none" w:sz="0" w:space="0" w:color="auto"/>
      </w:divBdr>
    </w:div>
    <w:div w:id="1281959436">
      <w:bodyDiv w:val="1"/>
      <w:marLeft w:val="0"/>
      <w:marRight w:val="0"/>
      <w:marTop w:val="0"/>
      <w:marBottom w:val="0"/>
      <w:divBdr>
        <w:top w:val="none" w:sz="0" w:space="0" w:color="auto"/>
        <w:left w:val="none" w:sz="0" w:space="0" w:color="auto"/>
        <w:bottom w:val="none" w:sz="0" w:space="0" w:color="auto"/>
        <w:right w:val="none" w:sz="0" w:space="0" w:color="auto"/>
      </w:divBdr>
    </w:div>
    <w:div w:id="1284775489">
      <w:bodyDiv w:val="1"/>
      <w:marLeft w:val="0"/>
      <w:marRight w:val="0"/>
      <w:marTop w:val="0"/>
      <w:marBottom w:val="0"/>
      <w:divBdr>
        <w:top w:val="none" w:sz="0" w:space="0" w:color="auto"/>
        <w:left w:val="none" w:sz="0" w:space="0" w:color="auto"/>
        <w:bottom w:val="none" w:sz="0" w:space="0" w:color="auto"/>
        <w:right w:val="none" w:sz="0" w:space="0" w:color="auto"/>
      </w:divBdr>
    </w:div>
    <w:div w:id="1290866196">
      <w:bodyDiv w:val="1"/>
      <w:marLeft w:val="0"/>
      <w:marRight w:val="0"/>
      <w:marTop w:val="0"/>
      <w:marBottom w:val="0"/>
      <w:divBdr>
        <w:top w:val="none" w:sz="0" w:space="0" w:color="auto"/>
        <w:left w:val="none" w:sz="0" w:space="0" w:color="auto"/>
        <w:bottom w:val="none" w:sz="0" w:space="0" w:color="auto"/>
        <w:right w:val="none" w:sz="0" w:space="0" w:color="auto"/>
      </w:divBdr>
    </w:div>
    <w:div w:id="1335063728">
      <w:bodyDiv w:val="1"/>
      <w:marLeft w:val="0"/>
      <w:marRight w:val="0"/>
      <w:marTop w:val="0"/>
      <w:marBottom w:val="0"/>
      <w:divBdr>
        <w:top w:val="none" w:sz="0" w:space="0" w:color="auto"/>
        <w:left w:val="none" w:sz="0" w:space="0" w:color="auto"/>
        <w:bottom w:val="none" w:sz="0" w:space="0" w:color="auto"/>
        <w:right w:val="none" w:sz="0" w:space="0" w:color="auto"/>
      </w:divBdr>
    </w:div>
    <w:div w:id="1410542802">
      <w:bodyDiv w:val="1"/>
      <w:marLeft w:val="0"/>
      <w:marRight w:val="0"/>
      <w:marTop w:val="0"/>
      <w:marBottom w:val="0"/>
      <w:divBdr>
        <w:top w:val="none" w:sz="0" w:space="0" w:color="auto"/>
        <w:left w:val="none" w:sz="0" w:space="0" w:color="auto"/>
        <w:bottom w:val="none" w:sz="0" w:space="0" w:color="auto"/>
        <w:right w:val="none" w:sz="0" w:space="0" w:color="auto"/>
      </w:divBdr>
    </w:div>
    <w:div w:id="1425298382">
      <w:bodyDiv w:val="1"/>
      <w:marLeft w:val="0"/>
      <w:marRight w:val="0"/>
      <w:marTop w:val="0"/>
      <w:marBottom w:val="0"/>
      <w:divBdr>
        <w:top w:val="none" w:sz="0" w:space="0" w:color="auto"/>
        <w:left w:val="none" w:sz="0" w:space="0" w:color="auto"/>
        <w:bottom w:val="none" w:sz="0" w:space="0" w:color="auto"/>
        <w:right w:val="none" w:sz="0" w:space="0" w:color="auto"/>
      </w:divBdr>
    </w:div>
    <w:div w:id="1441607302">
      <w:bodyDiv w:val="1"/>
      <w:marLeft w:val="0"/>
      <w:marRight w:val="0"/>
      <w:marTop w:val="0"/>
      <w:marBottom w:val="0"/>
      <w:divBdr>
        <w:top w:val="none" w:sz="0" w:space="0" w:color="auto"/>
        <w:left w:val="none" w:sz="0" w:space="0" w:color="auto"/>
        <w:bottom w:val="none" w:sz="0" w:space="0" w:color="auto"/>
        <w:right w:val="none" w:sz="0" w:space="0" w:color="auto"/>
      </w:divBdr>
    </w:div>
    <w:div w:id="1481769637">
      <w:bodyDiv w:val="1"/>
      <w:marLeft w:val="0"/>
      <w:marRight w:val="0"/>
      <w:marTop w:val="0"/>
      <w:marBottom w:val="0"/>
      <w:divBdr>
        <w:top w:val="none" w:sz="0" w:space="0" w:color="auto"/>
        <w:left w:val="none" w:sz="0" w:space="0" w:color="auto"/>
        <w:bottom w:val="none" w:sz="0" w:space="0" w:color="auto"/>
        <w:right w:val="none" w:sz="0" w:space="0" w:color="auto"/>
      </w:divBdr>
    </w:div>
    <w:div w:id="1501309965">
      <w:bodyDiv w:val="1"/>
      <w:marLeft w:val="0"/>
      <w:marRight w:val="0"/>
      <w:marTop w:val="0"/>
      <w:marBottom w:val="0"/>
      <w:divBdr>
        <w:top w:val="none" w:sz="0" w:space="0" w:color="auto"/>
        <w:left w:val="none" w:sz="0" w:space="0" w:color="auto"/>
        <w:bottom w:val="none" w:sz="0" w:space="0" w:color="auto"/>
        <w:right w:val="none" w:sz="0" w:space="0" w:color="auto"/>
      </w:divBdr>
    </w:div>
    <w:div w:id="1531649628">
      <w:bodyDiv w:val="1"/>
      <w:marLeft w:val="0"/>
      <w:marRight w:val="0"/>
      <w:marTop w:val="0"/>
      <w:marBottom w:val="0"/>
      <w:divBdr>
        <w:top w:val="none" w:sz="0" w:space="0" w:color="auto"/>
        <w:left w:val="none" w:sz="0" w:space="0" w:color="auto"/>
        <w:bottom w:val="none" w:sz="0" w:space="0" w:color="auto"/>
        <w:right w:val="none" w:sz="0" w:space="0" w:color="auto"/>
      </w:divBdr>
    </w:div>
    <w:div w:id="1601639995">
      <w:bodyDiv w:val="1"/>
      <w:marLeft w:val="0"/>
      <w:marRight w:val="0"/>
      <w:marTop w:val="0"/>
      <w:marBottom w:val="0"/>
      <w:divBdr>
        <w:top w:val="none" w:sz="0" w:space="0" w:color="auto"/>
        <w:left w:val="none" w:sz="0" w:space="0" w:color="auto"/>
        <w:bottom w:val="none" w:sz="0" w:space="0" w:color="auto"/>
        <w:right w:val="none" w:sz="0" w:space="0" w:color="auto"/>
      </w:divBdr>
    </w:div>
    <w:div w:id="1603099975">
      <w:bodyDiv w:val="1"/>
      <w:marLeft w:val="0"/>
      <w:marRight w:val="0"/>
      <w:marTop w:val="0"/>
      <w:marBottom w:val="0"/>
      <w:divBdr>
        <w:top w:val="none" w:sz="0" w:space="0" w:color="auto"/>
        <w:left w:val="none" w:sz="0" w:space="0" w:color="auto"/>
        <w:bottom w:val="none" w:sz="0" w:space="0" w:color="auto"/>
        <w:right w:val="none" w:sz="0" w:space="0" w:color="auto"/>
      </w:divBdr>
    </w:div>
    <w:div w:id="1628969901">
      <w:bodyDiv w:val="1"/>
      <w:marLeft w:val="0"/>
      <w:marRight w:val="0"/>
      <w:marTop w:val="0"/>
      <w:marBottom w:val="0"/>
      <w:divBdr>
        <w:top w:val="none" w:sz="0" w:space="0" w:color="auto"/>
        <w:left w:val="none" w:sz="0" w:space="0" w:color="auto"/>
        <w:bottom w:val="none" w:sz="0" w:space="0" w:color="auto"/>
        <w:right w:val="none" w:sz="0" w:space="0" w:color="auto"/>
      </w:divBdr>
    </w:div>
    <w:div w:id="1669139918">
      <w:bodyDiv w:val="1"/>
      <w:marLeft w:val="0"/>
      <w:marRight w:val="0"/>
      <w:marTop w:val="0"/>
      <w:marBottom w:val="0"/>
      <w:divBdr>
        <w:top w:val="none" w:sz="0" w:space="0" w:color="auto"/>
        <w:left w:val="none" w:sz="0" w:space="0" w:color="auto"/>
        <w:bottom w:val="none" w:sz="0" w:space="0" w:color="auto"/>
        <w:right w:val="none" w:sz="0" w:space="0" w:color="auto"/>
      </w:divBdr>
    </w:div>
    <w:div w:id="1675760472">
      <w:bodyDiv w:val="1"/>
      <w:marLeft w:val="0"/>
      <w:marRight w:val="0"/>
      <w:marTop w:val="0"/>
      <w:marBottom w:val="0"/>
      <w:divBdr>
        <w:top w:val="none" w:sz="0" w:space="0" w:color="auto"/>
        <w:left w:val="none" w:sz="0" w:space="0" w:color="auto"/>
        <w:bottom w:val="none" w:sz="0" w:space="0" w:color="auto"/>
        <w:right w:val="none" w:sz="0" w:space="0" w:color="auto"/>
      </w:divBdr>
    </w:div>
    <w:div w:id="1677003771">
      <w:bodyDiv w:val="1"/>
      <w:marLeft w:val="0"/>
      <w:marRight w:val="0"/>
      <w:marTop w:val="0"/>
      <w:marBottom w:val="0"/>
      <w:divBdr>
        <w:top w:val="none" w:sz="0" w:space="0" w:color="auto"/>
        <w:left w:val="none" w:sz="0" w:space="0" w:color="auto"/>
        <w:bottom w:val="none" w:sz="0" w:space="0" w:color="auto"/>
        <w:right w:val="none" w:sz="0" w:space="0" w:color="auto"/>
      </w:divBdr>
    </w:div>
    <w:div w:id="1706058260">
      <w:bodyDiv w:val="1"/>
      <w:marLeft w:val="0"/>
      <w:marRight w:val="0"/>
      <w:marTop w:val="0"/>
      <w:marBottom w:val="0"/>
      <w:divBdr>
        <w:top w:val="none" w:sz="0" w:space="0" w:color="auto"/>
        <w:left w:val="none" w:sz="0" w:space="0" w:color="auto"/>
        <w:bottom w:val="none" w:sz="0" w:space="0" w:color="auto"/>
        <w:right w:val="none" w:sz="0" w:space="0" w:color="auto"/>
      </w:divBdr>
    </w:div>
    <w:div w:id="1724792104">
      <w:bodyDiv w:val="1"/>
      <w:marLeft w:val="0"/>
      <w:marRight w:val="0"/>
      <w:marTop w:val="0"/>
      <w:marBottom w:val="0"/>
      <w:divBdr>
        <w:top w:val="none" w:sz="0" w:space="0" w:color="auto"/>
        <w:left w:val="none" w:sz="0" w:space="0" w:color="auto"/>
        <w:bottom w:val="none" w:sz="0" w:space="0" w:color="auto"/>
        <w:right w:val="none" w:sz="0" w:space="0" w:color="auto"/>
      </w:divBdr>
    </w:div>
    <w:div w:id="1762792753">
      <w:bodyDiv w:val="1"/>
      <w:marLeft w:val="0"/>
      <w:marRight w:val="0"/>
      <w:marTop w:val="0"/>
      <w:marBottom w:val="0"/>
      <w:divBdr>
        <w:top w:val="none" w:sz="0" w:space="0" w:color="auto"/>
        <w:left w:val="none" w:sz="0" w:space="0" w:color="auto"/>
        <w:bottom w:val="none" w:sz="0" w:space="0" w:color="auto"/>
        <w:right w:val="none" w:sz="0" w:space="0" w:color="auto"/>
      </w:divBdr>
    </w:div>
    <w:div w:id="1771048325">
      <w:bodyDiv w:val="1"/>
      <w:marLeft w:val="0"/>
      <w:marRight w:val="0"/>
      <w:marTop w:val="0"/>
      <w:marBottom w:val="0"/>
      <w:divBdr>
        <w:top w:val="none" w:sz="0" w:space="0" w:color="auto"/>
        <w:left w:val="none" w:sz="0" w:space="0" w:color="auto"/>
        <w:bottom w:val="none" w:sz="0" w:space="0" w:color="auto"/>
        <w:right w:val="none" w:sz="0" w:space="0" w:color="auto"/>
      </w:divBdr>
    </w:div>
    <w:div w:id="1781800536">
      <w:bodyDiv w:val="1"/>
      <w:marLeft w:val="0"/>
      <w:marRight w:val="0"/>
      <w:marTop w:val="0"/>
      <w:marBottom w:val="0"/>
      <w:divBdr>
        <w:top w:val="none" w:sz="0" w:space="0" w:color="auto"/>
        <w:left w:val="none" w:sz="0" w:space="0" w:color="auto"/>
        <w:bottom w:val="none" w:sz="0" w:space="0" w:color="auto"/>
        <w:right w:val="none" w:sz="0" w:space="0" w:color="auto"/>
      </w:divBdr>
    </w:div>
    <w:div w:id="1782407894">
      <w:bodyDiv w:val="1"/>
      <w:marLeft w:val="0"/>
      <w:marRight w:val="0"/>
      <w:marTop w:val="0"/>
      <w:marBottom w:val="0"/>
      <w:divBdr>
        <w:top w:val="none" w:sz="0" w:space="0" w:color="auto"/>
        <w:left w:val="none" w:sz="0" w:space="0" w:color="auto"/>
        <w:bottom w:val="none" w:sz="0" w:space="0" w:color="auto"/>
        <w:right w:val="none" w:sz="0" w:space="0" w:color="auto"/>
      </w:divBdr>
    </w:div>
    <w:div w:id="1841462118">
      <w:bodyDiv w:val="1"/>
      <w:marLeft w:val="0"/>
      <w:marRight w:val="0"/>
      <w:marTop w:val="0"/>
      <w:marBottom w:val="0"/>
      <w:divBdr>
        <w:top w:val="none" w:sz="0" w:space="0" w:color="auto"/>
        <w:left w:val="none" w:sz="0" w:space="0" w:color="auto"/>
        <w:bottom w:val="none" w:sz="0" w:space="0" w:color="auto"/>
        <w:right w:val="none" w:sz="0" w:space="0" w:color="auto"/>
      </w:divBdr>
    </w:div>
    <w:div w:id="1844084363">
      <w:bodyDiv w:val="1"/>
      <w:marLeft w:val="0"/>
      <w:marRight w:val="0"/>
      <w:marTop w:val="0"/>
      <w:marBottom w:val="0"/>
      <w:divBdr>
        <w:top w:val="none" w:sz="0" w:space="0" w:color="auto"/>
        <w:left w:val="none" w:sz="0" w:space="0" w:color="auto"/>
        <w:bottom w:val="none" w:sz="0" w:space="0" w:color="auto"/>
        <w:right w:val="none" w:sz="0" w:space="0" w:color="auto"/>
      </w:divBdr>
    </w:div>
    <w:div w:id="1864007152">
      <w:bodyDiv w:val="1"/>
      <w:marLeft w:val="0"/>
      <w:marRight w:val="0"/>
      <w:marTop w:val="0"/>
      <w:marBottom w:val="0"/>
      <w:divBdr>
        <w:top w:val="none" w:sz="0" w:space="0" w:color="auto"/>
        <w:left w:val="none" w:sz="0" w:space="0" w:color="auto"/>
        <w:bottom w:val="none" w:sz="0" w:space="0" w:color="auto"/>
        <w:right w:val="none" w:sz="0" w:space="0" w:color="auto"/>
      </w:divBdr>
    </w:div>
    <w:div w:id="1870953862">
      <w:bodyDiv w:val="1"/>
      <w:marLeft w:val="0"/>
      <w:marRight w:val="0"/>
      <w:marTop w:val="0"/>
      <w:marBottom w:val="0"/>
      <w:divBdr>
        <w:top w:val="none" w:sz="0" w:space="0" w:color="auto"/>
        <w:left w:val="none" w:sz="0" w:space="0" w:color="auto"/>
        <w:bottom w:val="none" w:sz="0" w:space="0" w:color="auto"/>
        <w:right w:val="none" w:sz="0" w:space="0" w:color="auto"/>
      </w:divBdr>
    </w:div>
    <w:div w:id="1883899119">
      <w:bodyDiv w:val="1"/>
      <w:marLeft w:val="0"/>
      <w:marRight w:val="0"/>
      <w:marTop w:val="0"/>
      <w:marBottom w:val="0"/>
      <w:divBdr>
        <w:top w:val="none" w:sz="0" w:space="0" w:color="auto"/>
        <w:left w:val="none" w:sz="0" w:space="0" w:color="auto"/>
        <w:bottom w:val="none" w:sz="0" w:space="0" w:color="auto"/>
        <w:right w:val="none" w:sz="0" w:space="0" w:color="auto"/>
      </w:divBdr>
    </w:div>
    <w:div w:id="1964071374">
      <w:bodyDiv w:val="1"/>
      <w:marLeft w:val="0"/>
      <w:marRight w:val="0"/>
      <w:marTop w:val="0"/>
      <w:marBottom w:val="0"/>
      <w:divBdr>
        <w:top w:val="none" w:sz="0" w:space="0" w:color="auto"/>
        <w:left w:val="none" w:sz="0" w:space="0" w:color="auto"/>
        <w:bottom w:val="none" w:sz="0" w:space="0" w:color="auto"/>
        <w:right w:val="none" w:sz="0" w:space="0" w:color="auto"/>
      </w:divBdr>
    </w:div>
    <w:div w:id="1968120687">
      <w:bodyDiv w:val="1"/>
      <w:marLeft w:val="0"/>
      <w:marRight w:val="0"/>
      <w:marTop w:val="0"/>
      <w:marBottom w:val="0"/>
      <w:divBdr>
        <w:top w:val="none" w:sz="0" w:space="0" w:color="auto"/>
        <w:left w:val="none" w:sz="0" w:space="0" w:color="auto"/>
        <w:bottom w:val="none" w:sz="0" w:space="0" w:color="auto"/>
        <w:right w:val="none" w:sz="0" w:space="0" w:color="auto"/>
      </w:divBdr>
    </w:div>
    <w:div w:id="1987934312">
      <w:bodyDiv w:val="1"/>
      <w:marLeft w:val="0"/>
      <w:marRight w:val="0"/>
      <w:marTop w:val="0"/>
      <w:marBottom w:val="0"/>
      <w:divBdr>
        <w:top w:val="none" w:sz="0" w:space="0" w:color="auto"/>
        <w:left w:val="none" w:sz="0" w:space="0" w:color="auto"/>
        <w:bottom w:val="none" w:sz="0" w:space="0" w:color="auto"/>
        <w:right w:val="none" w:sz="0" w:space="0" w:color="auto"/>
      </w:divBdr>
    </w:div>
    <w:div w:id="2019847003">
      <w:bodyDiv w:val="1"/>
      <w:marLeft w:val="0"/>
      <w:marRight w:val="0"/>
      <w:marTop w:val="0"/>
      <w:marBottom w:val="0"/>
      <w:divBdr>
        <w:top w:val="none" w:sz="0" w:space="0" w:color="auto"/>
        <w:left w:val="none" w:sz="0" w:space="0" w:color="auto"/>
        <w:bottom w:val="none" w:sz="0" w:space="0" w:color="auto"/>
        <w:right w:val="none" w:sz="0" w:space="0" w:color="auto"/>
      </w:divBdr>
    </w:div>
    <w:div w:id="2050521505">
      <w:bodyDiv w:val="1"/>
      <w:marLeft w:val="0"/>
      <w:marRight w:val="0"/>
      <w:marTop w:val="0"/>
      <w:marBottom w:val="0"/>
      <w:divBdr>
        <w:top w:val="none" w:sz="0" w:space="0" w:color="auto"/>
        <w:left w:val="none" w:sz="0" w:space="0" w:color="auto"/>
        <w:bottom w:val="none" w:sz="0" w:space="0" w:color="auto"/>
        <w:right w:val="none" w:sz="0" w:space="0" w:color="auto"/>
      </w:divBdr>
    </w:div>
    <w:div w:id="2070297444">
      <w:bodyDiv w:val="1"/>
      <w:marLeft w:val="0"/>
      <w:marRight w:val="0"/>
      <w:marTop w:val="0"/>
      <w:marBottom w:val="0"/>
      <w:divBdr>
        <w:top w:val="none" w:sz="0" w:space="0" w:color="auto"/>
        <w:left w:val="none" w:sz="0" w:space="0" w:color="auto"/>
        <w:bottom w:val="none" w:sz="0" w:space="0" w:color="auto"/>
        <w:right w:val="none" w:sz="0" w:space="0" w:color="auto"/>
      </w:divBdr>
    </w:div>
    <w:div w:id="2076389990">
      <w:bodyDiv w:val="1"/>
      <w:marLeft w:val="0"/>
      <w:marRight w:val="0"/>
      <w:marTop w:val="0"/>
      <w:marBottom w:val="0"/>
      <w:divBdr>
        <w:top w:val="none" w:sz="0" w:space="0" w:color="auto"/>
        <w:left w:val="none" w:sz="0" w:space="0" w:color="auto"/>
        <w:bottom w:val="none" w:sz="0" w:space="0" w:color="auto"/>
        <w:right w:val="none" w:sz="0" w:space="0" w:color="auto"/>
      </w:divBdr>
    </w:div>
    <w:div w:id="2093163684">
      <w:bodyDiv w:val="1"/>
      <w:marLeft w:val="0"/>
      <w:marRight w:val="0"/>
      <w:marTop w:val="0"/>
      <w:marBottom w:val="0"/>
      <w:divBdr>
        <w:top w:val="none" w:sz="0" w:space="0" w:color="auto"/>
        <w:left w:val="none" w:sz="0" w:space="0" w:color="auto"/>
        <w:bottom w:val="none" w:sz="0" w:space="0" w:color="auto"/>
        <w:right w:val="none" w:sz="0" w:space="0" w:color="auto"/>
      </w:divBdr>
    </w:div>
    <w:div w:id="2099011335">
      <w:bodyDiv w:val="1"/>
      <w:marLeft w:val="0"/>
      <w:marRight w:val="0"/>
      <w:marTop w:val="0"/>
      <w:marBottom w:val="0"/>
      <w:divBdr>
        <w:top w:val="none" w:sz="0" w:space="0" w:color="auto"/>
        <w:left w:val="none" w:sz="0" w:space="0" w:color="auto"/>
        <w:bottom w:val="none" w:sz="0" w:space="0" w:color="auto"/>
        <w:right w:val="none" w:sz="0" w:space="0" w:color="auto"/>
      </w:divBdr>
    </w:div>
    <w:div w:id="2114281863">
      <w:bodyDiv w:val="1"/>
      <w:marLeft w:val="0"/>
      <w:marRight w:val="0"/>
      <w:marTop w:val="0"/>
      <w:marBottom w:val="0"/>
      <w:divBdr>
        <w:top w:val="none" w:sz="0" w:space="0" w:color="auto"/>
        <w:left w:val="none" w:sz="0" w:space="0" w:color="auto"/>
        <w:bottom w:val="none" w:sz="0" w:space="0" w:color="auto"/>
        <w:right w:val="none" w:sz="0" w:space="0" w:color="auto"/>
      </w:divBdr>
    </w:div>
    <w:div w:id="2129885120">
      <w:bodyDiv w:val="1"/>
      <w:marLeft w:val="0"/>
      <w:marRight w:val="0"/>
      <w:marTop w:val="0"/>
      <w:marBottom w:val="0"/>
      <w:divBdr>
        <w:top w:val="none" w:sz="0" w:space="0" w:color="auto"/>
        <w:left w:val="none" w:sz="0" w:space="0" w:color="auto"/>
        <w:bottom w:val="none" w:sz="0" w:space="0" w:color="auto"/>
        <w:right w:val="none" w:sz="0" w:space="0" w:color="auto"/>
      </w:divBdr>
    </w:div>
    <w:div w:id="2131044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4uB4A1djDlb7QtExrADdURgzcA==">CgMxLjA4AHIhMWtueGpfN09kcGp1ZU9NVkxOUXlYYmttNnNXMndFVFdW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EDF9C2-2000-461D-A244-3BF8D1288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10120</Words>
  <Characters>57689</Characters>
  <Application>Microsoft Office Word</Application>
  <DocSecurity>0</DocSecurity>
  <Lines>480</Lines>
  <Paragraphs>135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NTHQ</dc:creator>
  <cp:lastModifiedBy>VX</cp:lastModifiedBy>
  <cp:revision>2</cp:revision>
  <cp:lastPrinted>2026-05-06T08:52:00Z</cp:lastPrinted>
  <dcterms:created xsi:type="dcterms:W3CDTF">2026-08-12T08:57:00Z</dcterms:created>
  <dcterms:modified xsi:type="dcterms:W3CDTF">2026-08-12T08:57:00Z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0x010100DA0D100D1A42E04D83AD954A6E2091D2</vt:lpwstr>
  </property>
  <property fmtid="{D5CDD505-2E9C-101B-9397-08002B2CF9AE}" pid="3" name="Hạn góp ý phối hợp">
    <vt:lpwstr>2019-10-07T00:00:00Z</vt:lpwstr>
  </property>
  <property fmtid="{D5CDD505-2E9C-101B-9397-08002B2CF9AE}" pid="4" name="Xin ý kiến">
    <vt:lpwstr>Phối hợp</vt:lpwstr>
  </property>
  <property fmtid="{D5CDD505-2E9C-101B-9397-08002B2CF9AE}" pid="5" name="Đã trả lời">
    <vt:lpwstr>0</vt:lpwstr>
  </property>
  <property fmtid="{D5CDD505-2E9C-101B-9397-08002B2CF9AE}" pid="6" name="Phân loại">
    <vt:lpwstr>Xây dựng ngành</vt:lpwstr>
  </property>
  <property fmtid="{D5CDD505-2E9C-101B-9397-08002B2CF9AE}" pid="7" name="ContentType">
    <vt:lpwstr>Document</vt:lpwstr>
  </property>
</Properties>
</file>